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81" w:rsidRPr="0029605F" w:rsidRDefault="00D21E52" w:rsidP="00DD4CC7">
      <w:pPr>
        <w:pStyle w:val="PNadpis3"/>
        <w:numPr>
          <w:ilvl w:val="0"/>
          <w:numId w:val="0"/>
        </w:numPr>
        <w:spacing w:before="120" w:after="280"/>
        <w:ind w:left="680" w:hanging="680"/>
        <w:jc w:val="center"/>
        <w:rPr>
          <w:sz w:val="32"/>
          <w:szCs w:val="32"/>
          <w:u w:val="single"/>
        </w:rPr>
      </w:pPr>
      <w:r w:rsidRPr="0029605F">
        <w:rPr>
          <w:sz w:val="32"/>
          <w:szCs w:val="32"/>
          <w:u w:val="single"/>
        </w:rPr>
        <w:t>POJIŠTĚNÍ MAJETKU</w:t>
      </w:r>
    </w:p>
    <w:p w:rsidR="00EC626A" w:rsidRPr="0029605F" w:rsidRDefault="00EC626A" w:rsidP="00EC626A">
      <w:pPr>
        <w:pStyle w:val="PNadpis3"/>
        <w:numPr>
          <w:ilvl w:val="0"/>
          <w:numId w:val="0"/>
        </w:numPr>
        <w:spacing w:before="240"/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Pojištění elektroniky</w:t>
      </w:r>
    </w:p>
    <w:p w:rsidR="00EC626A" w:rsidRPr="004611EC" w:rsidRDefault="00EC626A" w:rsidP="00EC626A">
      <w:pPr>
        <w:pStyle w:val="Nadpis4"/>
        <w:spacing w:before="120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514"/>
        <w:gridCol w:w="1906"/>
        <w:gridCol w:w="1203"/>
        <w:gridCol w:w="1138"/>
        <w:gridCol w:w="1141"/>
        <w:gridCol w:w="2168"/>
      </w:tblGrid>
      <w:tr w:rsidR="00EC626A" w:rsidRPr="0015031B" w:rsidTr="00DD4CC7">
        <w:trPr>
          <w:trHeight w:val="255"/>
        </w:trPr>
        <w:tc>
          <w:tcPr>
            <w:tcW w:w="838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  <w:r w:rsidRPr="005A4B5A">
              <w:t>Předmět pojištění</w:t>
            </w:r>
          </w:p>
        </w:tc>
        <w:tc>
          <w:tcPr>
            <w:tcW w:w="105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</w:p>
        </w:tc>
        <w:tc>
          <w:tcPr>
            <w:tcW w:w="66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R"/>
            </w:pPr>
            <w:r w:rsidRPr="005A4B5A">
              <w:t>Pojistná částka</w:t>
            </w:r>
          </w:p>
        </w:tc>
        <w:tc>
          <w:tcPr>
            <w:tcW w:w="630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</w:p>
        </w:tc>
        <w:tc>
          <w:tcPr>
            <w:tcW w:w="61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R"/>
            </w:pPr>
            <w:r>
              <w:t>Agregovaná pojistná částka</w:t>
            </w:r>
          </w:p>
        </w:tc>
        <w:tc>
          <w:tcPr>
            <w:tcW w:w="1198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5A4B5A" w:rsidRDefault="00EC626A" w:rsidP="00EC626A">
            <w:pPr>
              <w:pStyle w:val="TabulkaNL"/>
            </w:pPr>
            <w:r w:rsidRPr="005A4B5A">
              <w:t>Poznámka</w:t>
            </w:r>
          </w:p>
        </w:tc>
      </w:tr>
      <w:tr w:rsidR="00D45393" w:rsidRPr="0015031B" w:rsidTr="001D5CF3">
        <w:trPr>
          <w:trHeight w:val="272"/>
        </w:trPr>
        <w:tc>
          <w:tcPr>
            <w:tcW w:w="838" w:type="pct"/>
            <w:vMerge w:val="restart"/>
            <w:tcBorders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 xml:space="preserve">Soubor vlastních </w:t>
            </w:r>
            <w:r w:rsidRPr="0015031B">
              <w:rPr>
                <w:rFonts w:cs="Arial"/>
              </w:rPr>
              <w:br/>
              <w:t xml:space="preserve">a cizích elektronických zařízení, dat </w:t>
            </w:r>
            <w:r w:rsidRPr="0015031B">
              <w:rPr>
                <w:rFonts w:cs="Arial"/>
              </w:rPr>
              <w:br/>
              <w:t>a nosičů dat, včetně příslušenství</w:t>
            </w:r>
          </w:p>
        </w:tc>
        <w:tc>
          <w:tcPr>
            <w:tcW w:w="1054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Stacionární elektronická zařízení, včetně příslušenství</w:t>
            </w:r>
          </w:p>
        </w:tc>
        <w:tc>
          <w:tcPr>
            <w:tcW w:w="666" w:type="pct"/>
            <w:vMerge w:val="restart"/>
            <w:tcBorders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5F59E5" w:rsidRDefault="00D45393" w:rsidP="0036487F">
            <w:pPr>
              <w:pStyle w:val="TabulkaTR"/>
            </w:pPr>
            <w:r w:rsidRPr="00452C88">
              <w:t>14 000 000</w:t>
            </w:r>
            <w:r>
              <w:t xml:space="preserve"> </w:t>
            </w:r>
          </w:p>
        </w:tc>
        <w:tc>
          <w:tcPr>
            <w:tcW w:w="630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včetně: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 základů</w:t>
            </w:r>
          </w:p>
        </w:tc>
        <w:tc>
          <w:tcPr>
            <w:tcW w:w="614" w:type="pct"/>
            <w:vMerge w:val="restar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5F59E5" w:rsidRDefault="00D45393" w:rsidP="0036487F">
            <w:pPr>
              <w:pStyle w:val="TabulkaTR"/>
            </w:pPr>
            <w:r w:rsidRPr="00452C88">
              <w:t>14</w:t>
            </w:r>
            <w:r>
              <w:t> 5</w:t>
            </w:r>
            <w:r w:rsidRPr="00452C88">
              <w:t>00 000</w:t>
            </w:r>
            <w:r w:rsidRPr="005F59E5">
              <w:t xml:space="preserve"> </w:t>
            </w:r>
          </w:p>
        </w:tc>
        <w:tc>
          <w:tcPr>
            <w:tcW w:w="1198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první riziko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nová (reprodukční) cena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časová cena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jiná cena</w:t>
            </w:r>
          </w:p>
        </w:tc>
      </w:tr>
      <w:tr w:rsidR="00D45393" w:rsidRPr="0015031B" w:rsidTr="001D5CF3">
        <w:trPr>
          <w:trHeight w:val="272"/>
        </w:trPr>
        <w:tc>
          <w:tcPr>
            <w:tcW w:w="838" w:type="pct"/>
            <w:vMerge/>
            <w:tcBorders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Mobilní elektronická zařízení, včetně příslušenství</w:t>
            </w:r>
          </w:p>
        </w:tc>
        <w:tc>
          <w:tcPr>
            <w:tcW w:w="666" w:type="pct"/>
            <w:vMerge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5F59E5" w:rsidRDefault="00D45393" w:rsidP="00EC626A">
            <w:pPr>
              <w:pStyle w:val="TabulkaTR"/>
            </w:pPr>
          </w:p>
        </w:tc>
        <w:tc>
          <w:tcPr>
            <w:tcW w:w="63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včetně: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 základů</w:t>
            </w: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15031B" w:rsidRDefault="00D45393" w:rsidP="00EC626A">
            <w:pPr>
              <w:pStyle w:val="TabulkaTR"/>
              <w:rPr>
                <w:highlight w:val="darkGray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první riziko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nová (reprodukční) cena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časová cena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jiná cena</w:t>
            </w:r>
          </w:p>
        </w:tc>
      </w:tr>
      <w:tr w:rsidR="00D45393" w:rsidRPr="0015031B" w:rsidTr="001D5CF3">
        <w:trPr>
          <w:trHeight w:val="272"/>
        </w:trPr>
        <w:tc>
          <w:tcPr>
            <w:tcW w:w="838" w:type="pct"/>
            <w:vMerge/>
            <w:tcBorders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Data a nosiče dat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5F59E5" w:rsidRDefault="00D45393" w:rsidP="00EC626A">
            <w:pPr>
              <w:pStyle w:val="TabulkaTR"/>
            </w:pPr>
            <w:r>
              <w:t>5</w:t>
            </w:r>
            <w:r w:rsidRPr="005F59E5">
              <w:t xml:space="preserve">00 000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15031B" w:rsidRDefault="00D45393" w:rsidP="00EC626A">
            <w:pPr>
              <w:pStyle w:val="TabulkaTR"/>
              <w:rPr>
                <w:highlight w:val="darkGray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první riziko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náklady na obnovu</w:t>
            </w:r>
          </w:p>
        </w:tc>
      </w:tr>
      <w:tr w:rsidR="00D45393" w:rsidRPr="0015031B" w:rsidTr="001D5CF3">
        <w:trPr>
          <w:trHeight w:val="272"/>
        </w:trPr>
        <w:tc>
          <w:tcPr>
            <w:tcW w:w="838" w:type="pct"/>
            <w:vMerge/>
            <w:tcBorders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t>Rozvody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720235" w:rsidRDefault="00D45393" w:rsidP="00EC626A">
            <w:pPr>
              <w:pStyle w:val="TabulkaTR"/>
            </w:pPr>
            <w:r>
              <w:t>5</w:t>
            </w:r>
            <w:r w:rsidRPr="00720235">
              <w:t xml:space="preserve">00 000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Pr="00720235" w:rsidRDefault="00D45393" w:rsidP="00EC626A">
            <w:pPr>
              <w:pStyle w:val="TabulkaTR"/>
            </w:pPr>
            <w:r>
              <w:t>5</w:t>
            </w:r>
            <w:r w:rsidRPr="00720235">
              <w:t xml:space="preserve">00 000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první riziko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nová (reprodukční) cena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časová cena</w:t>
            </w:r>
          </w:p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jiná cena</w:t>
            </w:r>
          </w:p>
        </w:tc>
      </w:tr>
      <w:tr w:rsidR="00D45393" w:rsidRPr="0015031B" w:rsidTr="001D5CF3">
        <w:trPr>
          <w:trHeight w:val="272"/>
        </w:trPr>
        <w:tc>
          <w:tcPr>
            <w:tcW w:w="838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  <w:r>
              <w:rPr>
                <w:rFonts w:cs="Arial"/>
              </w:rPr>
              <w:t>Mobilní telefony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Default="00D45393" w:rsidP="00EC626A">
            <w:pPr>
              <w:pStyle w:val="TabulkaTR"/>
            </w:pPr>
            <w:r>
              <w:t>10</w:t>
            </w:r>
            <w:bookmarkStart w:id="0" w:name="_GoBack"/>
            <w:bookmarkEnd w:id="0"/>
            <w:r>
              <w:t>0 000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D45393" w:rsidRPr="0015031B" w:rsidRDefault="00D45393" w:rsidP="00EC626A">
            <w:pPr>
              <w:pStyle w:val="TabulkaTL"/>
              <w:rPr>
                <w:rFonts w:cs="Arial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D45393" w:rsidRDefault="00D45393" w:rsidP="00EC626A">
            <w:pPr>
              <w:pStyle w:val="TabulkaTR"/>
            </w:pPr>
            <w:r>
              <w:t>100 000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D45393" w:rsidRPr="0015031B" w:rsidRDefault="00D45393" w:rsidP="00D45393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první riziko</w:t>
            </w:r>
          </w:p>
          <w:p w:rsidR="00D45393" w:rsidRPr="0015031B" w:rsidRDefault="00D45393" w:rsidP="00D45393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nová (reprodukční) cena</w:t>
            </w:r>
          </w:p>
          <w:p w:rsidR="00D45393" w:rsidRPr="0015031B" w:rsidRDefault="00D45393" w:rsidP="00D45393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časová cena</w:t>
            </w:r>
          </w:p>
          <w:p w:rsidR="00D45393" w:rsidRPr="0015031B" w:rsidRDefault="00D45393" w:rsidP="00D45393">
            <w:pPr>
              <w:pStyle w:val="TabulkaTL"/>
              <w:rPr>
                <w:rFonts w:cs="Arial"/>
              </w:rPr>
            </w:pPr>
            <w:r w:rsidRPr="0015031B">
              <w:rPr>
                <w:rFonts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031B">
              <w:rPr>
                <w:rFonts w:cs="Arial"/>
              </w:rPr>
              <w:instrText xml:space="preserve"> FORMCHECKBOX </w:instrText>
            </w:r>
            <w:r w:rsidR="00EE275C">
              <w:rPr>
                <w:rFonts w:cs="Arial"/>
              </w:rPr>
            </w:r>
            <w:r w:rsidR="00EE275C">
              <w:rPr>
                <w:rFonts w:cs="Arial"/>
              </w:rPr>
              <w:fldChar w:fldCharType="separate"/>
            </w:r>
            <w:r w:rsidRPr="0015031B">
              <w:rPr>
                <w:rFonts w:cs="Arial"/>
              </w:rPr>
              <w:fldChar w:fldCharType="end"/>
            </w:r>
            <w:r w:rsidRPr="0015031B">
              <w:rPr>
                <w:rFonts w:cs="Arial"/>
              </w:rPr>
              <w:t xml:space="preserve"> jiná cena</w:t>
            </w:r>
          </w:p>
        </w:tc>
      </w:tr>
    </w:tbl>
    <w:p w:rsidR="00EC626A" w:rsidRPr="00C67C56" w:rsidRDefault="00EC626A" w:rsidP="00EC626A">
      <w:pPr>
        <w:pStyle w:val="TabulkaTL"/>
        <w:rPr>
          <w:szCs w:val="16"/>
        </w:rPr>
      </w:pPr>
      <w:r w:rsidRPr="00720235">
        <w:t xml:space="preserve">Poznámka: </w:t>
      </w:r>
      <w:r w:rsidRPr="00720235">
        <w:rPr>
          <w:i/>
          <w:szCs w:val="16"/>
        </w:rPr>
        <w:t>Nabídku prosím kalkulujte pro agregované pojistné částky.</w:t>
      </w:r>
    </w:p>
    <w:p w:rsidR="00EC626A" w:rsidRPr="00866600" w:rsidRDefault="00EC626A" w:rsidP="00EC626A">
      <w:pPr>
        <w:pStyle w:val="Nadpis4"/>
        <w:spacing w:before="180"/>
      </w:pPr>
      <w:r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9"/>
        <w:gridCol w:w="3058"/>
        <w:gridCol w:w="2953"/>
      </w:tblGrid>
      <w:tr w:rsidR="00EC626A" w:rsidRPr="00A66876" w:rsidTr="0029605F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16643B" w:rsidRDefault="00EC626A" w:rsidP="00EC626A">
            <w:pPr>
              <w:pStyle w:val="TabulkaNL"/>
            </w:pPr>
            <w:r w:rsidRPr="00E0787C">
              <w:br w:type="page"/>
            </w:r>
            <w:r w:rsidRPr="0016643B">
              <w:t> 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16643B" w:rsidRDefault="00EC626A" w:rsidP="00EC626A">
            <w:pPr>
              <w:pStyle w:val="TabulkaNL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A66876" w:rsidRDefault="00EC626A" w:rsidP="00EC626A">
            <w:pPr>
              <w:pStyle w:val="TabulkaNL"/>
            </w:pPr>
            <w:r w:rsidRPr="00A66876">
              <w:t>Varianta I</w:t>
            </w:r>
          </w:p>
        </w:tc>
      </w:tr>
      <w:tr w:rsidR="00EC626A" w:rsidRPr="00A66876" w:rsidTr="0029605F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 xml:space="preserve">Pojištění elektroniky 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A66876" w:rsidRDefault="00EC626A" w:rsidP="00EC626A">
            <w:pPr>
              <w:pStyle w:val="TabulkaTL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EC626A" w:rsidRPr="00A66876" w:rsidRDefault="00EC626A" w:rsidP="00EC626A">
            <w:pPr>
              <w:pStyle w:val="TabulkaTL"/>
            </w:pPr>
          </w:p>
        </w:tc>
      </w:tr>
      <w:tr w:rsidR="00A62608" w:rsidRPr="00A66876" w:rsidTr="00ED2955">
        <w:trPr>
          <w:trHeight w:val="255"/>
        </w:trPr>
        <w:tc>
          <w:tcPr>
            <w:tcW w:w="1686" w:type="pct"/>
            <w:vMerge w:val="restart"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  <w:r w:rsidRPr="00A66876">
              <w:t>Pojištěná nebezpečí</w:t>
            </w:r>
          </w:p>
        </w:tc>
        <w:tc>
          <w:tcPr>
            <w:tcW w:w="1686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  <w:r w:rsidRPr="00A66876">
              <w:t>Stacionární zařízení</w:t>
            </w:r>
          </w:p>
        </w:tc>
        <w:tc>
          <w:tcPr>
            <w:tcW w:w="162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  <w:r w:rsidRPr="00A66876">
              <w:t xml:space="preserve">All </w:t>
            </w:r>
            <w:proofErr w:type="spellStart"/>
            <w:r w:rsidRPr="00A66876">
              <w:t>risks</w:t>
            </w:r>
            <w:proofErr w:type="spellEnd"/>
            <w:r w:rsidRPr="00A66876">
              <w:t>,</w:t>
            </w:r>
            <w:r>
              <w:t xml:space="preserve"> vniknutí cizího předmětu</w:t>
            </w:r>
          </w:p>
        </w:tc>
      </w:tr>
      <w:tr w:rsidR="00A62608" w:rsidRPr="00A66876" w:rsidTr="00ED2955">
        <w:trPr>
          <w:trHeight w:val="255"/>
        </w:trPr>
        <w:tc>
          <w:tcPr>
            <w:tcW w:w="1686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  <w:r w:rsidRPr="00A66876">
              <w:t>Mobilní zařízení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  <w:r w:rsidRPr="00A66876">
              <w:t xml:space="preserve">All </w:t>
            </w:r>
            <w:proofErr w:type="spellStart"/>
            <w:r w:rsidRPr="00A66876">
              <w:t>risks</w:t>
            </w:r>
            <w:proofErr w:type="spellEnd"/>
            <w:r w:rsidRPr="00A66876">
              <w:t xml:space="preserve">, vniknutí cizího předmětu, </w:t>
            </w:r>
            <w:proofErr w:type="spellStart"/>
            <w:r w:rsidRPr="00A66876">
              <w:t>kasko</w:t>
            </w:r>
            <w:proofErr w:type="spellEnd"/>
            <w:r w:rsidRPr="00A66876">
              <w:t xml:space="preserve"> rizika</w:t>
            </w:r>
          </w:p>
        </w:tc>
      </w:tr>
      <w:tr w:rsidR="00A62608" w:rsidRPr="00A66876" w:rsidTr="00ED2955">
        <w:trPr>
          <w:trHeight w:val="255"/>
        </w:trPr>
        <w:tc>
          <w:tcPr>
            <w:tcW w:w="1686" w:type="pct"/>
            <w:vMerge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  <w:r>
              <w:t>Mobilní telefony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A62608" w:rsidRPr="00A66876" w:rsidRDefault="00A62608" w:rsidP="00EC626A">
            <w:pPr>
              <w:pStyle w:val="TabulkaTL"/>
            </w:pPr>
            <w:r>
              <w:t xml:space="preserve">All </w:t>
            </w:r>
            <w:proofErr w:type="spellStart"/>
            <w:r>
              <w:t>risks</w:t>
            </w:r>
            <w:proofErr w:type="spellEnd"/>
          </w:p>
        </w:tc>
      </w:tr>
      <w:tr w:rsidR="00EC626A" w:rsidRPr="00A66876" w:rsidTr="0029605F">
        <w:trPr>
          <w:trHeight w:val="255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>Limity plnění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A66876" w:rsidRDefault="00212799" w:rsidP="00EC626A">
            <w:pPr>
              <w:pStyle w:val="TabulkaTR"/>
            </w:pPr>
            <w:r>
              <w:t>1</w:t>
            </w:r>
            <w:r w:rsidR="00AC7AD4">
              <w:t>0</w:t>
            </w:r>
            <w:r w:rsidR="00EC626A">
              <w:t xml:space="preserve"> 000 000 </w:t>
            </w:r>
          </w:p>
        </w:tc>
      </w:tr>
      <w:tr w:rsidR="00EC626A" w:rsidRPr="00A66876" w:rsidTr="0029605F">
        <w:trPr>
          <w:trHeight w:val="785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A66876" w:rsidRDefault="00EC626A" w:rsidP="00EC626A">
            <w:pPr>
              <w:pStyle w:val="TabulkaTL"/>
            </w:pPr>
            <w:r w:rsidRPr="00A66876">
              <w:t>Spoluúčasti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Default="00D45393" w:rsidP="00EC626A">
            <w:pPr>
              <w:pStyle w:val="TabulkaTL"/>
            </w:pPr>
            <w:r>
              <w:t>Stacionární zařízení a mobilní zařízení</w:t>
            </w:r>
          </w:p>
          <w:p w:rsidR="00A62608" w:rsidRPr="00A66876" w:rsidRDefault="00A62608" w:rsidP="00EC626A">
            <w:pPr>
              <w:pStyle w:val="TabulkaTL"/>
            </w:pPr>
            <w:r>
              <w:t>Mobilní telefony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A62608" w:rsidRDefault="00A62608" w:rsidP="00A62608">
            <w:pPr>
              <w:pStyle w:val="TabulkaTR"/>
              <w:jc w:val="both"/>
            </w:pPr>
            <w:r>
              <w:t xml:space="preserve">                                                       </w:t>
            </w:r>
            <w:r w:rsidR="00EC626A">
              <w:t>5</w:t>
            </w:r>
            <w:r>
              <w:t> </w:t>
            </w:r>
            <w:r w:rsidR="00EC626A">
              <w:t>000</w:t>
            </w:r>
          </w:p>
          <w:p w:rsidR="00EC626A" w:rsidRPr="00A66876" w:rsidRDefault="00A62608" w:rsidP="00A62608">
            <w:pPr>
              <w:pStyle w:val="TabulkaTR"/>
              <w:jc w:val="both"/>
            </w:pPr>
            <w:r>
              <w:t xml:space="preserve">                                                          500</w:t>
            </w:r>
            <w:r w:rsidR="00EC626A">
              <w:t xml:space="preserve"> </w:t>
            </w:r>
          </w:p>
        </w:tc>
      </w:tr>
    </w:tbl>
    <w:p w:rsidR="00EC626A" w:rsidRDefault="00EC626A" w:rsidP="00EC626A">
      <w:pPr>
        <w:pStyle w:val="Nadpis4"/>
        <w:spacing w:before="120"/>
      </w:pPr>
      <w:r>
        <w:t>Použité pojmy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087"/>
      </w:tblGrid>
      <w:tr w:rsidR="00EC626A" w:rsidRPr="00DB47FE" w:rsidTr="0029605F">
        <w:tc>
          <w:tcPr>
            <w:tcW w:w="1985" w:type="dxa"/>
          </w:tcPr>
          <w:p w:rsidR="00EC626A" w:rsidRPr="005C7F9B" w:rsidRDefault="00EC626A" w:rsidP="00EC626A">
            <w:pPr>
              <w:rPr>
                <w:b/>
              </w:rPr>
            </w:pPr>
            <w:r w:rsidRPr="005C7F9B">
              <w:rPr>
                <w:b/>
              </w:rPr>
              <w:t xml:space="preserve">All </w:t>
            </w:r>
            <w:proofErr w:type="spellStart"/>
            <w:r w:rsidRPr="005C7F9B">
              <w:rPr>
                <w:b/>
              </w:rPr>
              <w:t>risks</w:t>
            </w:r>
            <w:proofErr w:type="spellEnd"/>
          </w:p>
        </w:tc>
        <w:tc>
          <w:tcPr>
            <w:tcW w:w="7087" w:type="dxa"/>
          </w:tcPr>
          <w:p w:rsidR="00EC626A" w:rsidRPr="005C7F9B" w:rsidRDefault="00EC626A" w:rsidP="0029605F">
            <w:r w:rsidRPr="005C7F9B">
              <w:t>všechna nebezpečí, kromě výslovně vyloučených (běžně živelní nebezpečí, odcizení, vandalismus, válka, stávka; politická rizika; jaderné záření, reakce, kontaminace; běžné opotřebení; atmosférické vlivy</w:t>
            </w:r>
            <w:r>
              <w:t>; škody</w:t>
            </w:r>
            <w:r w:rsidR="006C7FCE">
              <w:t>,</w:t>
            </w:r>
            <w:r>
              <w:t xml:space="preserve"> za které odpovídá smluvní partner; úmyslné jednání pojištěného; škody na vyměnitelných součástech a na součástech, které podléhají rychlému opotřebení</w:t>
            </w:r>
            <w:r w:rsidRPr="005C7F9B">
              <w:t>)</w:t>
            </w:r>
            <w:r>
              <w:t>.</w:t>
            </w:r>
          </w:p>
        </w:tc>
      </w:tr>
      <w:tr w:rsidR="00EC626A" w:rsidRPr="00DB47FE" w:rsidTr="0029605F">
        <w:tc>
          <w:tcPr>
            <w:tcW w:w="1985" w:type="dxa"/>
          </w:tcPr>
          <w:p w:rsidR="00EC626A" w:rsidRPr="00867FEE" w:rsidRDefault="00EC626A" w:rsidP="00EC626A">
            <w:pPr>
              <w:rPr>
                <w:b/>
                <w:highlight w:val="darkGray"/>
              </w:rPr>
            </w:pPr>
            <w:proofErr w:type="spellStart"/>
            <w:r w:rsidRPr="005C7F9B">
              <w:rPr>
                <w:b/>
              </w:rPr>
              <w:t>Kasko</w:t>
            </w:r>
            <w:proofErr w:type="spellEnd"/>
            <w:r w:rsidRPr="005C7F9B">
              <w:rPr>
                <w:b/>
              </w:rPr>
              <w:t xml:space="preserve"> rizika</w:t>
            </w:r>
          </w:p>
        </w:tc>
        <w:tc>
          <w:tcPr>
            <w:tcW w:w="7087" w:type="dxa"/>
          </w:tcPr>
          <w:p w:rsidR="00EC626A" w:rsidRPr="00867FEE" w:rsidRDefault="00EC626A" w:rsidP="00EC626A">
            <w:pPr>
              <w:rPr>
                <w:highlight w:val="darkGray"/>
              </w:rPr>
            </w:pPr>
            <w:r w:rsidRPr="00037DF6">
              <w:t>havárie (náhlé nahodilé působení vnějších</w:t>
            </w:r>
            <w:r w:rsidR="00AC7AD4">
              <w:t xml:space="preserve"> mechanických sil - náraz, střet</w:t>
            </w:r>
            <w:r w:rsidRPr="00037DF6">
              <w:t>, pád); neoprávněné užití zařízení (užití zařízení proti vůli oprávněné osoby); živelní události (působení přírodních sil - požár, výbuch, úder blesku, zřícení skal, zemin nebo lavin, pád stromů nebo stožárů, vichřice, krupobití, povodeň nebo záplava).</w:t>
            </w:r>
          </w:p>
        </w:tc>
      </w:tr>
    </w:tbl>
    <w:p w:rsidR="00EC626A" w:rsidRDefault="00EC626A" w:rsidP="00EC626A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</w:tblGrid>
      <w:tr w:rsidR="00EC626A" w:rsidRPr="00ED6B69" w:rsidTr="00EC626A">
        <w:trPr>
          <w:trHeight w:val="255"/>
        </w:trPr>
        <w:tc>
          <w:tcPr>
            <w:tcW w:w="3374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1626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R"/>
            </w:pPr>
            <w:r w:rsidRPr="00ED6B69">
              <w:t xml:space="preserve">Limit plnění </w:t>
            </w:r>
          </w:p>
        </w:tc>
      </w:tr>
      <w:tr w:rsidR="00212799" w:rsidRPr="00ED6B69" w:rsidTr="00EC626A">
        <w:trPr>
          <w:trHeight w:val="255"/>
        </w:trPr>
        <w:tc>
          <w:tcPr>
            <w:tcW w:w="337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212799" w:rsidRPr="00ED6B69" w:rsidRDefault="00212799" w:rsidP="00121706">
            <w:pPr>
              <w:pStyle w:val="TabulkaTR"/>
              <w:jc w:val="left"/>
            </w:pPr>
            <w:r w:rsidRPr="00ED6B69">
              <w:t xml:space="preserve">Katastrální území města </w:t>
            </w:r>
            <w:r>
              <w:t>Frenštát pod Radhoštěm</w:t>
            </w:r>
          </w:p>
        </w:tc>
        <w:tc>
          <w:tcPr>
            <w:tcW w:w="1626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212799" w:rsidRPr="00ED6B69" w:rsidRDefault="00212799" w:rsidP="00EC626A">
            <w:pPr>
              <w:pStyle w:val="TabulkaTR"/>
            </w:pPr>
            <w:r w:rsidRPr="00ED6B69">
              <w:t>-</w:t>
            </w:r>
          </w:p>
        </w:tc>
      </w:tr>
      <w:tr w:rsidR="00EC626A" w:rsidRPr="00ED6B69" w:rsidTr="00EC626A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ED6B69" w:rsidRDefault="00EC626A" w:rsidP="00EC626A">
            <w:pPr>
              <w:pStyle w:val="TabulkaTL"/>
            </w:pPr>
            <w:r w:rsidRPr="00ED6B69">
              <w:t>Území Evropy</w:t>
            </w:r>
            <w:r>
              <w:t xml:space="preserve"> – mobilní elektronika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ED6B69" w:rsidRDefault="00EC626A" w:rsidP="00EC626A">
            <w:pPr>
              <w:pStyle w:val="TabulkaTR"/>
            </w:pPr>
            <w:r>
              <w:t>500 00</w:t>
            </w:r>
            <w:r w:rsidRPr="00ED6B69">
              <w:t>0</w:t>
            </w:r>
            <w:r>
              <w:t xml:space="preserve"> </w:t>
            </w:r>
          </w:p>
        </w:tc>
      </w:tr>
    </w:tbl>
    <w:p w:rsidR="00C97F82" w:rsidRDefault="00C97F82" w:rsidP="004E01AB"/>
    <w:sectPr w:rsidR="00C97F82" w:rsidSect="004E01AB">
      <w:headerReference w:type="default" r:id="rId8"/>
      <w:footerReference w:type="default" r:id="rId9"/>
      <w:pgSz w:w="11906" w:h="16838"/>
      <w:pgMar w:top="567" w:right="1418" w:bottom="709" w:left="1418" w:header="142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75C" w:rsidRDefault="00EE275C" w:rsidP="004F5014">
      <w:pPr>
        <w:spacing w:line="240" w:lineRule="auto"/>
      </w:pPr>
      <w:r>
        <w:separator/>
      </w:r>
    </w:p>
  </w:endnote>
  <w:endnote w:type="continuationSeparator" w:id="0">
    <w:p w:rsidR="00EE275C" w:rsidRDefault="00EE275C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3239D5" w:rsidRDefault="003239D5">
            <w:pPr>
              <w:pStyle w:val="Zpat"/>
              <w:jc w:val="center"/>
            </w:pPr>
            <w:r>
              <w:t xml:space="preserve">Stránka </w:t>
            </w:r>
            <w:r w:rsidR="00777BE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77BE6">
              <w:rPr>
                <w:b/>
                <w:sz w:val="24"/>
                <w:szCs w:val="24"/>
              </w:rPr>
              <w:fldChar w:fldCharType="separate"/>
            </w:r>
            <w:r w:rsidR="00566428">
              <w:rPr>
                <w:b/>
                <w:noProof/>
              </w:rPr>
              <w:t>1</w:t>
            </w:r>
            <w:r w:rsidR="00777BE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77BE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77BE6">
              <w:rPr>
                <w:b/>
                <w:sz w:val="24"/>
                <w:szCs w:val="24"/>
              </w:rPr>
              <w:fldChar w:fldCharType="separate"/>
            </w:r>
            <w:r w:rsidR="00566428">
              <w:rPr>
                <w:b/>
                <w:noProof/>
              </w:rPr>
              <w:t>1</w:t>
            </w:r>
            <w:r w:rsidR="00777BE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239D5" w:rsidRPr="00DF4ED5" w:rsidRDefault="003239D5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75C" w:rsidRDefault="00EE275C" w:rsidP="004F5014">
      <w:pPr>
        <w:spacing w:line="240" w:lineRule="auto"/>
      </w:pPr>
      <w:r>
        <w:separator/>
      </w:r>
    </w:p>
  </w:footnote>
  <w:footnote w:type="continuationSeparator" w:id="0">
    <w:p w:rsidR="00EE275C" w:rsidRDefault="00EE275C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9D5" w:rsidRDefault="00DD4CC7" w:rsidP="004F5014">
    <w:pPr>
      <w:pStyle w:val="Zhlav"/>
      <w:jc w:val="right"/>
    </w:pPr>
    <w:r>
      <w:t>Příloha č.</w:t>
    </w:r>
    <w:r w:rsidR="00566428">
      <w:t xml:space="preserve"> </w:t>
    </w:r>
    <w:r w:rsidR="00D739AA">
      <w:t>2f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14"/>
    <w:rsid w:val="00003285"/>
    <w:rsid w:val="000E365F"/>
    <w:rsid w:val="000F6949"/>
    <w:rsid w:val="00127BE9"/>
    <w:rsid w:val="0015110A"/>
    <w:rsid w:val="001A6F0E"/>
    <w:rsid w:val="00212799"/>
    <w:rsid w:val="00215EF5"/>
    <w:rsid w:val="0025110D"/>
    <w:rsid w:val="00256F10"/>
    <w:rsid w:val="002776E5"/>
    <w:rsid w:val="0029605F"/>
    <w:rsid w:val="002A0E61"/>
    <w:rsid w:val="002A5DBA"/>
    <w:rsid w:val="002E1918"/>
    <w:rsid w:val="00317016"/>
    <w:rsid w:val="003239D5"/>
    <w:rsid w:val="00345D45"/>
    <w:rsid w:val="003507BA"/>
    <w:rsid w:val="0036487F"/>
    <w:rsid w:val="00387640"/>
    <w:rsid w:val="003B17E5"/>
    <w:rsid w:val="003D4888"/>
    <w:rsid w:val="004340BD"/>
    <w:rsid w:val="00452C88"/>
    <w:rsid w:val="00497D94"/>
    <w:rsid w:val="004A5503"/>
    <w:rsid w:val="004E01AB"/>
    <w:rsid w:val="004F5014"/>
    <w:rsid w:val="004F6636"/>
    <w:rsid w:val="00531461"/>
    <w:rsid w:val="00566428"/>
    <w:rsid w:val="00593398"/>
    <w:rsid w:val="005C2DCE"/>
    <w:rsid w:val="005D54E4"/>
    <w:rsid w:val="005F74B3"/>
    <w:rsid w:val="006A67DB"/>
    <w:rsid w:val="006B399C"/>
    <w:rsid w:val="006C7FCE"/>
    <w:rsid w:val="006E55E7"/>
    <w:rsid w:val="006F6668"/>
    <w:rsid w:val="00716DF9"/>
    <w:rsid w:val="00722B68"/>
    <w:rsid w:val="007428B0"/>
    <w:rsid w:val="00776B81"/>
    <w:rsid w:val="00777BE6"/>
    <w:rsid w:val="00783771"/>
    <w:rsid w:val="007A5B0F"/>
    <w:rsid w:val="007B2482"/>
    <w:rsid w:val="007D4C11"/>
    <w:rsid w:val="007F6C3F"/>
    <w:rsid w:val="00801A9A"/>
    <w:rsid w:val="0084377A"/>
    <w:rsid w:val="008524B9"/>
    <w:rsid w:val="008F57E7"/>
    <w:rsid w:val="008F61AF"/>
    <w:rsid w:val="008F79D1"/>
    <w:rsid w:val="00905EBF"/>
    <w:rsid w:val="009508CF"/>
    <w:rsid w:val="009658F8"/>
    <w:rsid w:val="009A00E8"/>
    <w:rsid w:val="009A7ED0"/>
    <w:rsid w:val="009E66E6"/>
    <w:rsid w:val="00A3678A"/>
    <w:rsid w:val="00A43AD8"/>
    <w:rsid w:val="00A45FE3"/>
    <w:rsid w:val="00A62608"/>
    <w:rsid w:val="00AC09D9"/>
    <w:rsid w:val="00AC7AD4"/>
    <w:rsid w:val="00AE02FA"/>
    <w:rsid w:val="00B538D3"/>
    <w:rsid w:val="00B94A58"/>
    <w:rsid w:val="00BC3F1E"/>
    <w:rsid w:val="00BC4B83"/>
    <w:rsid w:val="00C46FD1"/>
    <w:rsid w:val="00C97F82"/>
    <w:rsid w:val="00CC1902"/>
    <w:rsid w:val="00D05845"/>
    <w:rsid w:val="00D21E52"/>
    <w:rsid w:val="00D22B8F"/>
    <w:rsid w:val="00D45393"/>
    <w:rsid w:val="00D523F3"/>
    <w:rsid w:val="00D71344"/>
    <w:rsid w:val="00D7148D"/>
    <w:rsid w:val="00D739AA"/>
    <w:rsid w:val="00DD4CC7"/>
    <w:rsid w:val="00DD609B"/>
    <w:rsid w:val="00DF4ED5"/>
    <w:rsid w:val="00E228C9"/>
    <w:rsid w:val="00EC626A"/>
    <w:rsid w:val="00EE275C"/>
    <w:rsid w:val="00EE4DC0"/>
    <w:rsid w:val="00F200B0"/>
    <w:rsid w:val="00F451A9"/>
    <w:rsid w:val="00F46B2F"/>
    <w:rsid w:val="00F845C2"/>
    <w:rsid w:val="00FD2B40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B5366"/>
  <w15:docId w15:val="{09435668-0D28-4D0E-9B18-C1BFA8A2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3E866-4EE9-491D-A664-80346E50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Rejman Jan</cp:lastModifiedBy>
  <cp:revision>3</cp:revision>
  <cp:lastPrinted>2011-09-20T05:21:00Z</cp:lastPrinted>
  <dcterms:created xsi:type="dcterms:W3CDTF">2019-11-06T06:48:00Z</dcterms:created>
  <dcterms:modified xsi:type="dcterms:W3CDTF">2019-11-06T06:49:00Z</dcterms:modified>
</cp:coreProperties>
</file>