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C90" w:rsidRPr="0029605F" w:rsidRDefault="00F70C90" w:rsidP="00DD4CC7">
      <w:pPr>
        <w:pStyle w:val="PNadpis3"/>
        <w:numPr>
          <w:ilvl w:val="0"/>
          <w:numId w:val="0"/>
        </w:numPr>
        <w:spacing w:before="120" w:after="28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29605F">
        <w:rPr>
          <w:sz w:val="32"/>
          <w:szCs w:val="32"/>
          <w:u w:val="single"/>
        </w:rPr>
        <w:t>POJIŠTĚNÍ MAJETKU</w:t>
      </w:r>
    </w:p>
    <w:p w:rsidR="00F70C90" w:rsidRDefault="00F70C90" w:rsidP="00EC626A">
      <w:pPr>
        <w:pStyle w:val="PNadpis3"/>
        <w:numPr>
          <w:ilvl w:val="0"/>
          <w:numId w:val="0"/>
        </w:numPr>
        <w:spacing w:before="240"/>
        <w:ind w:left="680" w:hanging="68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Pojištění strojů a strojních zařízení</w:t>
      </w:r>
    </w:p>
    <w:p w:rsidR="00F70C90" w:rsidRPr="004611EC" w:rsidRDefault="00F70C90" w:rsidP="005B3E35">
      <w:pPr>
        <w:pStyle w:val="Nadpis4"/>
        <w:spacing w:before="120"/>
      </w:pPr>
      <w:r>
        <w:t>Předměty pojištění, pojistné částky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1522"/>
        <w:gridCol w:w="1463"/>
        <w:gridCol w:w="1430"/>
        <w:gridCol w:w="1430"/>
        <w:gridCol w:w="1211"/>
        <w:gridCol w:w="2230"/>
      </w:tblGrid>
      <w:tr w:rsidR="00F70C90" w:rsidRPr="005908D5">
        <w:trPr>
          <w:trHeight w:val="255"/>
        </w:trPr>
        <w:tc>
          <w:tcPr>
            <w:tcW w:w="819" w:type="pct"/>
            <w:tcBorders>
              <w:right w:val="single" w:sz="18" w:space="0" w:color="DBDCDD"/>
            </w:tcBorders>
            <w:shd w:val="clear" w:color="auto" w:fill="283164"/>
          </w:tcPr>
          <w:p w:rsidR="00F70C90" w:rsidRPr="005A4B5A" w:rsidRDefault="00F70C90" w:rsidP="005B3E35">
            <w:pPr>
              <w:pStyle w:val="TabulkaNL"/>
            </w:pPr>
            <w:r w:rsidRPr="005A4B5A">
              <w:t>Předmět pojištění</w:t>
            </w:r>
          </w:p>
        </w:tc>
        <w:tc>
          <w:tcPr>
            <w:tcW w:w="787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F70C90" w:rsidRPr="005A4B5A" w:rsidRDefault="00F70C90" w:rsidP="005B3E35">
            <w:pPr>
              <w:pStyle w:val="TabulkaNL"/>
            </w:pPr>
          </w:p>
        </w:tc>
        <w:tc>
          <w:tcPr>
            <w:tcW w:w="770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F70C90" w:rsidRPr="005A4B5A" w:rsidRDefault="00F70C90" w:rsidP="005B3E35">
            <w:pPr>
              <w:pStyle w:val="TabulkaNR"/>
            </w:pPr>
            <w:r w:rsidRPr="005A4B5A">
              <w:t>Pojistná částka</w:t>
            </w:r>
          </w:p>
        </w:tc>
        <w:tc>
          <w:tcPr>
            <w:tcW w:w="770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F70C90" w:rsidRPr="005A4B5A" w:rsidRDefault="00F70C90" w:rsidP="005B3E35">
            <w:pPr>
              <w:pStyle w:val="TabulkaNL"/>
            </w:pPr>
          </w:p>
        </w:tc>
        <w:tc>
          <w:tcPr>
            <w:tcW w:w="652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F70C90" w:rsidRPr="005A4B5A" w:rsidRDefault="00F70C90" w:rsidP="005B3E35">
            <w:pPr>
              <w:pStyle w:val="TabulkaNR"/>
            </w:pPr>
            <w:r>
              <w:t>Agregovaná pojistná částka</w:t>
            </w:r>
          </w:p>
        </w:tc>
        <w:tc>
          <w:tcPr>
            <w:tcW w:w="1201" w:type="pct"/>
            <w:tcBorders>
              <w:left w:val="single" w:sz="18" w:space="0" w:color="DBDCDD"/>
            </w:tcBorders>
            <w:shd w:val="clear" w:color="auto" w:fill="283164"/>
          </w:tcPr>
          <w:p w:rsidR="00F70C90" w:rsidRPr="005A4B5A" w:rsidRDefault="00F70C90" w:rsidP="005B3E35">
            <w:pPr>
              <w:pStyle w:val="TabulkaNL"/>
            </w:pPr>
            <w:r w:rsidRPr="005A4B5A">
              <w:t>Poznámka</w:t>
            </w:r>
          </w:p>
        </w:tc>
      </w:tr>
      <w:tr w:rsidR="00F70C90" w:rsidRPr="005908D5">
        <w:trPr>
          <w:trHeight w:val="272"/>
        </w:trPr>
        <w:tc>
          <w:tcPr>
            <w:tcW w:w="819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5908D5" w:rsidRDefault="00F70C90" w:rsidP="005B3E35">
            <w:pPr>
              <w:pStyle w:val="TabulkaTL"/>
            </w:pPr>
            <w:r w:rsidRPr="005908D5">
              <w:t>Vyjmenovaná strojní zařízení, včetně příslušenství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5908D5" w:rsidRDefault="00F70C90" w:rsidP="005B3E35">
            <w:pPr>
              <w:pStyle w:val="TabulkaTL"/>
            </w:pPr>
            <w:r w:rsidRPr="005908D5">
              <w:t>Mobilní strojní zařízení, včetně příslušenství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D94080" w:rsidRDefault="00F70C90" w:rsidP="005B3E35">
            <w:pPr>
              <w:pStyle w:val="TabulkaTR"/>
            </w:pPr>
            <w:r>
              <w:t>5 239 825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D94080" w:rsidRDefault="00F70C90" w:rsidP="005B3E35">
            <w:pPr>
              <w:pStyle w:val="TabulkaTL"/>
            </w:pPr>
            <w:r w:rsidRPr="00D94080">
              <w:t>včetně:</w:t>
            </w:r>
          </w:p>
          <w:p w:rsidR="00F70C90" w:rsidRPr="00D94080" w:rsidRDefault="00F70C90" w:rsidP="005B3E35">
            <w:pPr>
              <w:pStyle w:val="TabulkaTL"/>
            </w:pPr>
            <w:r w:rsidRPr="00D9408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D94080">
              <w:instrText xml:space="preserve"> FORMCHECKBOX </w:instrText>
            </w:r>
            <w:r w:rsidR="00784304">
              <w:fldChar w:fldCharType="separate"/>
            </w:r>
            <w:r w:rsidRPr="00D94080">
              <w:fldChar w:fldCharType="end"/>
            </w:r>
            <w:r w:rsidRPr="00D94080">
              <w:t xml:space="preserve"> elektronických</w:t>
            </w:r>
          </w:p>
          <w:p w:rsidR="00F70C90" w:rsidRPr="00D94080" w:rsidRDefault="00F70C90" w:rsidP="005B3E35">
            <w:pPr>
              <w:pStyle w:val="TabulkaTL"/>
            </w:pPr>
            <w:r w:rsidRPr="00D94080">
              <w:t xml:space="preserve">     prvků</w:t>
            </w:r>
          </w:p>
          <w:p w:rsidR="00F70C90" w:rsidRPr="00D94080" w:rsidRDefault="00F70C90" w:rsidP="005B3E35">
            <w:pPr>
              <w:pStyle w:val="TabulkaTL"/>
            </w:pPr>
            <w:r w:rsidRPr="00D9408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4080">
              <w:instrText xml:space="preserve"> FORMCHECKBOX </w:instrText>
            </w:r>
            <w:r w:rsidR="00784304">
              <w:fldChar w:fldCharType="separate"/>
            </w:r>
            <w:r w:rsidRPr="00D94080">
              <w:fldChar w:fldCharType="end"/>
            </w:r>
            <w:r w:rsidRPr="00D94080">
              <w:t xml:space="preserve">  základů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D94080" w:rsidRDefault="00F70C90" w:rsidP="005B3E35">
            <w:pPr>
              <w:pStyle w:val="TabulkaTL"/>
              <w:jc w:val="right"/>
            </w:pPr>
            <w:r>
              <w:t>5 239 825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F70C90" w:rsidRPr="00FE015A" w:rsidRDefault="00F70C90" w:rsidP="005B3E35">
            <w:pPr>
              <w:pStyle w:val="TabulkaTL"/>
            </w:pPr>
            <w:r w:rsidRPr="005908D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8D5">
              <w:instrText xml:space="preserve"> FORMCHECKBOX </w:instrText>
            </w:r>
            <w:r w:rsidR="00784304">
              <w:fldChar w:fldCharType="separate"/>
            </w:r>
            <w:r w:rsidRPr="005908D5">
              <w:fldChar w:fldCharType="end"/>
            </w:r>
            <w:r w:rsidRPr="005908D5">
              <w:t xml:space="preserve"> první riziko</w:t>
            </w:r>
          </w:p>
          <w:p w:rsidR="00F70C90" w:rsidRPr="005908D5" w:rsidRDefault="00F70C90" w:rsidP="005B3E35">
            <w:pPr>
              <w:pStyle w:val="TabulkaTL"/>
            </w:pPr>
            <w:r w:rsidRPr="005908D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908D5">
              <w:instrText xml:space="preserve"> FORMCHECKBOX </w:instrText>
            </w:r>
            <w:r w:rsidR="00784304">
              <w:fldChar w:fldCharType="separate"/>
            </w:r>
            <w:r w:rsidRPr="005908D5">
              <w:fldChar w:fldCharType="end"/>
            </w:r>
            <w:r w:rsidRPr="005908D5">
              <w:t xml:space="preserve"> nová (reprodukční) cena</w:t>
            </w:r>
          </w:p>
          <w:p w:rsidR="00F70C90" w:rsidRPr="005908D5" w:rsidRDefault="00F70C90" w:rsidP="005B3E35">
            <w:pPr>
              <w:pStyle w:val="TabulkaTL"/>
            </w:pPr>
            <w:r w:rsidRPr="005908D5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8D5">
              <w:instrText xml:space="preserve"> FORMCHECKBOX </w:instrText>
            </w:r>
            <w:r w:rsidR="00784304">
              <w:fldChar w:fldCharType="separate"/>
            </w:r>
            <w:r w:rsidRPr="005908D5">
              <w:fldChar w:fldCharType="end"/>
            </w:r>
            <w:r w:rsidRPr="005908D5">
              <w:t xml:space="preserve"> časová cena</w:t>
            </w:r>
          </w:p>
          <w:p w:rsidR="00F70C90" w:rsidRPr="005908D5" w:rsidRDefault="00F70C90" w:rsidP="005B3E35">
            <w:pPr>
              <w:pStyle w:val="TabulkaTL"/>
            </w:pPr>
            <w:r w:rsidRPr="005908D5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8D5">
              <w:instrText xml:space="preserve"> FORMCHECKBOX </w:instrText>
            </w:r>
            <w:r w:rsidR="00784304">
              <w:fldChar w:fldCharType="separate"/>
            </w:r>
            <w:r w:rsidRPr="005908D5">
              <w:fldChar w:fldCharType="end"/>
            </w:r>
            <w:r w:rsidRPr="005908D5">
              <w:t xml:space="preserve"> jiná cena</w:t>
            </w:r>
          </w:p>
        </w:tc>
      </w:tr>
    </w:tbl>
    <w:p w:rsidR="00F70C90" w:rsidRPr="00AF6F4A" w:rsidRDefault="00F70C90" w:rsidP="005B3E35">
      <w:pPr>
        <w:pStyle w:val="TabulkaTL"/>
      </w:pPr>
      <w:r w:rsidRPr="00161064">
        <w:t>Poznámka: Nabídka prosím kalkulujte pro agregované pojistné částky.</w:t>
      </w:r>
    </w:p>
    <w:p w:rsidR="00F70C90" w:rsidRPr="00866600" w:rsidRDefault="00F70C90" w:rsidP="005B3E35">
      <w:pPr>
        <w:pStyle w:val="Nadpis4"/>
      </w:pPr>
      <w:r>
        <w:t>Pojištěná nebezpečí, limity pojistného plnění, spoluúčasti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5"/>
        <w:gridCol w:w="3106"/>
        <w:gridCol w:w="2999"/>
      </w:tblGrid>
      <w:tr w:rsidR="00F70C90" w:rsidRPr="00916E42">
        <w:trPr>
          <w:trHeight w:val="255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283164"/>
            <w:vAlign w:val="center"/>
          </w:tcPr>
          <w:p w:rsidR="00F70C90" w:rsidRPr="0016643B" w:rsidRDefault="00F70C90" w:rsidP="005B3E35">
            <w:pPr>
              <w:pStyle w:val="TabulkaNL"/>
            </w:pPr>
            <w:r w:rsidRPr="00764ED6">
              <w:br w:type="page"/>
            </w:r>
            <w:r w:rsidRPr="0016643B">
              <w:t> </w:t>
            </w:r>
          </w:p>
        </w:tc>
        <w:tc>
          <w:tcPr>
            <w:tcW w:w="168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:rsidR="00F70C90" w:rsidRPr="0016643B" w:rsidRDefault="00F70C90" w:rsidP="005B3E35">
            <w:pPr>
              <w:pStyle w:val="TabulkaNL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:rsidR="00F70C90" w:rsidRPr="00764ED6" w:rsidRDefault="00F70C90" w:rsidP="005B3E35">
            <w:pPr>
              <w:pStyle w:val="TabulkaNL"/>
            </w:pPr>
            <w:r w:rsidRPr="00764ED6">
              <w:t>Varianta I</w:t>
            </w:r>
          </w:p>
        </w:tc>
      </w:tr>
      <w:tr w:rsidR="00F70C90" w:rsidRPr="00916E42">
        <w:trPr>
          <w:trHeight w:val="255"/>
        </w:trPr>
        <w:tc>
          <w:tcPr>
            <w:tcW w:w="1686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F70C90" w:rsidRPr="00712D72" w:rsidRDefault="00F70C90" w:rsidP="005B3E35">
            <w:pPr>
              <w:pStyle w:val="TabulkaTL"/>
            </w:pPr>
            <w:r w:rsidRPr="00712D72">
              <w:t xml:space="preserve">Strojní pojištění </w:t>
            </w:r>
          </w:p>
        </w:tc>
        <w:tc>
          <w:tcPr>
            <w:tcW w:w="1686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F70C90" w:rsidRPr="00916E42" w:rsidRDefault="00F70C90" w:rsidP="005B3E35">
            <w:pPr>
              <w:pStyle w:val="TabulkaTL"/>
              <w:rPr>
                <w:highlight w:val="yellow"/>
              </w:rPr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F70C90" w:rsidRPr="00916E42" w:rsidRDefault="00F70C90" w:rsidP="005B3E35">
            <w:pPr>
              <w:pStyle w:val="TabulkaTL"/>
              <w:rPr>
                <w:highlight w:val="yellow"/>
              </w:rPr>
            </w:pPr>
          </w:p>
        </w:tc>
      </w:tr>
      <w:tr w:rsidR="00F70C90" w:rsidRPr="00867FEE">
        <w:trPr>
          <w:trHeight w:val="255"/>
        </w:trPr>
        <w:tc>
          <w:tcPr>
            <w:tcW w:w="1686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712D72" w:rsidRDefault="00F70C90" w:rsidP="005B3E35">
            <w:pPr>
              <w:pStyle w:val="TabulkaTL"/>
            </w:pPr>
            <w:r w:rsidRPr="00712D72">
              <w:t>Pojištěná nebezpečí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161064" w:rsidRDefault="00F70C90" w:rsidP="005B3E35">
            <w:pPr>
              <w:pStyle w:val="TabulkaTL"/>
            </w:pPr>
            <w:r w:rsidRPr="00161064">
              <w:t>Mobilní zařízení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F70C90" w:rsidRPr="00161064" w:rsidRDefault="00F70C90" w:rsidP="005B3E35">
            <w:pPr>
              <w:pStyle w:val="TabulkaTL"/>
            </w:pPr>
            <w:proofErr w:type="spellStart"/>
            <w:r w:rsidRPr="00161064">
              <w:t>Allrisks</w:t>
            </w:r>
            <w:proofErr w:type="spellEnd"/>
            <w:r w:rsidRPr="00161064">
              <w:t xml:space="preserve">, vniknutí cizího předmětu, </w:t>
            </w:r>
            <w:proofErr w:type="spellStart"/>
            <w:r w:rsidRPr="00161064">
              <w:t>kasko</w:t>
            </w:r>
            <w:proofErr w:type="spellEnd"/>
            <w:r w:rsidRPr="00161064">
              <w:t xml:space="preserve"> rizika</w:t>
            </w:r>
          </w:p>
        </w:tc>
      </w:tr>
      <w:tr w:rsidR="00F70C90" w:rsidRPr="00867FEE">
        <w:trPr>
          <w:trHeight w:val="284"/>
        </w:trPr>
        <w:tc>
          <w:tcPr>
            <w:tcW w:w="1686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712D72" w:rsidRDefault="00F70C90" w:rsidP="005B3E35">
            <w:pPr>
              <w:pStyle w:val="TabulkaTL"/>
            </w:pPr>
            <w:r w:rsidRPr="00712D72">
              <w:t>Limity plnění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vAlign w:val="center"/>
          </w:tcPr>
          <w:p w:rsidR="00F70C90" w:rsidRPr="00764ED6" w:rsidRDefault="00F70C90" w:rsidP="005B3E35">
            <w:pPr>
              <w:pStyle w:val="TabulkaTL"/>
              <w:rPr>
                <w:highlight w:val="green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:rsidR="00F70C90" w:rsidRPr="00FA4ACC" w:rsidRDefault="00F70C90" w:rsidP="005B3E35">
            <w:pPr>
              <w:pStyle w:val="TabulkaTR"/>
            </w:pPr>
            <w:r w:rsidRPr="00FA4ACC">
              <w:t>Bez limitu</w:t>
            </w:r>
          </w:p>
        </w:tc>
      </w:tr>
      <w:tr w:rsidR="00F70C90" w:rsidRPr="00867FEE">
        <w:trPr>
          <w:trHeight w:val="284"/>
        </w:trPr>
        <w:tc>
          <w:tcPr>
            <w:tcW w:w="1686" w:type="pct"/>
            <w:vMerge w:val="restart"/>
            <w:tcBorders>
              <w:top w:val="single" w:sz="4" w:space="0" w:color="auto"/>
              <w:right w:val="single" w:sz="18" w:space="0" w:color="DBDCDD"/>
            </w:tcBorders>
            <w:vAlign w:val="center"/>
          </w:tcPr>
          <w:p w:rsidR="00F70C90" w:rsidRPr="00712D72" w:rsidRDefault="00F70C90" w:rsidP="005B3E35">
            <w:pPr>
              <w:pStyle w:val="TabulkaTL"/>
            </w:pPr>
            <w:r w:rsidRPr="00712D72">
              <w:t>Spoluúčasti</w:t>
            </w: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0333DA" w:rsidRDefault="00F70C90" w:rsidP="005B3E35">
            <w:pPr>
              <w:pStyle w:val="TabulkaTL"/>
            </w:pPr>
            <w:proofErr w:type="spellStart"/>
            <w:r w:rsidRPr="000333DA">
              <w:t>Kasko</w:t>
            </w:r>
            <w:proofErr w:type="spellEnd"/>
            <w:r w:rsidRPr="000333DA">
              <w:t xml:space="preserve"> rizika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F70C90" w:rsidRPr="000333DA" w:rsidRDefault="00F70C90" w:rsidP="005B3E35">
            <w:pPr>
              <w:pStyle w:val="TabulkaTR"/>
            </w:pPr>
            <w:r w:rsidRPr="000333DA">
              <w:t xml:space="preserve">1 000 </w:t>
            </w:r>
          </w:p>
        </w:tc>
      </w:tr>
      <w:tr w:rsidR="00F70C90" w:rsidRPr="00867FEE">
        <w:trPr>
          <w:trHeight w:val="284"/>
        </w:trPr>
        <w:tc>
          <w:tcPr>
            <w:tcW w:w="1686" w:type="pct"/>
            <w:vMerge/>
            <w:tcBorders>
              <w:right w:val="single" w:sz="18" w:space="0" w:color="DBDCDD"/>
            </w:tcBorders>
            <w:vAlign w:val="center"/>
          </w:tcPr>
          <w:p w:rsidR="00F70C90" w:rsidRPr="00D85780" w:rsidRDefault="00F70C90" w:rsidP="005B3E35">
            <w:pPr>
              <w:pStyle w:val="TabulkaTL"/>
              <w:rPr>
                <w:highlight w:val="darkGray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0333DA" w:rsidRDefault="00F70C90" w:rsidP="005B3E35">
            <w:pPr>
              <w:pStyle w:val="TabulkaTL"/>
            </w:pPr>
            <w:r w:rsidRPr="000333DA">
              <w:t>Ostatní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F70C90" w:rsidRPr="000333DA" w:rsidRDefault="00F70C90" w:rsidP="005B3E35">
            <w:pPr>
              <w:pStyle w:val="TabulkaTR"/>
            </w:pPr>
            <w:r w:rsidRPr="000333DA">
              <w:t xml:space="preserve">1 000 </w:t>
            </w:r>
          </w:p>
        </w:tc>
      </w:tr>
      <w:tr w:rsidR="00F70C90" w:rsidRPr="00867FEE">
        <w:trPr>
          <w:trHeight w:val="284"/>
        </w:trPr>
        <w:tc>
          <w:tcPr>
            <w:tcW w:w="1686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D85780" w:rsidRDefault="00F70C90" w:rsidP="005B3E35">
            <w:pPr>
              <w:pStyle w:val="TabulkaTL"/>
              <w:rPr>
                <w:highlight w:val="darkGray"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0333DA" w:rsidRDefault="00F70C90" w:rsidP="005B3E35">
            <w:pPr>
              <w:pStyle w:val="TabulkaTL"/>
            </w:pPr>
            <w:r>
              <w:t>Odcizení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F70C90" w:rsidRPr="000333DA" w:rsidRDefault="00F70C90" w:rsidP="005B3E35">
            <w:pPr>
              <w:pStyle w:val="TabulkaTR"/>
            </w:pPr>
            <w:r w:rsidRPr="000333DA">
              <w:t xml:space="preserve">1 000 </w:t>
            </w:r>
          </w:p>
        </w:tc>
      </w:tr>
    </w:tbl>
    <w:p w:rsidR="00F70C90" w:rsidRPr="005B3E35" w:rsidRDefault="00F70C90" w:rsidP="005B3E35">
      <w:pPr>
        <w:pStyle w:val="Nadpis4"/>
        <w:rPr>
          <w:sz w:val="22"/>
          <w:szCs w:val="22"/>
        </w:rPr>
      </w:pPr>
      <w:r w:rsidRPr="005B3E35">
        <w:rPr>
          <w:sz w:val="22"/>
          <w:szCs w:val="22"/>
        </w:rPr>
        <w:t>Pojištění strojů proti odcizení, vandalismu</w:t>
      </w:r>
    </w:p>
    <w:p w:rsidR="00F70C90" w:rsidRDefault="00F70C90" w:rsidP="005B3E35">
      <w:pPr>
        <w:pStyle w:val="Nadpis4"/>
      </w:pPr>
      <w:r>
        <w:t>Předměty pojištění, pojistné částky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2786"/>
        <w:gridCol w:w="4567"/>
        <w:gridCol w:w="1933"/>
      </w:tblGrid>
      <w:tr w:rsidR="00F70C90" w:rsidRPr="00EF6A43">
        <w:trPr>
          <w:trHeight w:val="255"/>
        </w:trPr>
        <w:tc>
          <w:tcPr>
            <w:tcW w:w="3959" w:type="pct"/>
            <w:gridSpan w:val="2"/>
            <w:vMerge w:val="restart"/>
            <w:tcBorders>
              <w:bottom w:val="single" w:sz="18" w:space="0" w:color="DBDCDD"/>
              <w:right w:val="single" w:sz="18" w:space="0" w:color="DBDCDD"/>
            </w:tcBorders>
            <w:shd w:val="clear" w:color="auto" w:fill="283164"/>
          </w:tcPr>
          <w:p w:rsidR="00F70C90" w:rsidRPr="00EF6A43" w:rsidRDefault="00F70C90" w:rsidP="005B3E35">
            <w:pPr>
              <w:pStyle w:val="TabulkaNL"/>
            </w:pPr>
            <w:r w:rsidRPr="00EF6A43">
              <w:t>Předmět pojištění</w:t>
            </w:r>
          </w:p>
        </w:tc>
        <w:tc>
          <w:tcPr>
            <w:tcW w:w="1041" w:type="pct"/>
            <w:tcBorders>
              <w:left w:val="single" w:sz="18" w:space="0" w:color="DBDCDD"/>
              <w:bottom w:val="single" w:sz="18" w:space="0" w:color="DBDCDD"/>
            </w:tcBorders>
            <w:shd w:val="clear" w:color="auto" w:fill="283164"/>
          </w:tcPr>
          <w:p w:rsidR="00F70C90" w:rsidRPr="00EF6A43" w:rsidRDefault="00F70C90" w:rsidP="005B3E35">
            <w:pPr>
              <w:pStyle w:val="TabulkaNM"/>
            </w:pPr>
            <w:r w:rsidRPr="00EF6A43">
              <w:t>Pojistná částka – první riziko</w:t>
            </w:r>
          </w:p>
        </w:tc>
      </w:tr>
      <w:tr w:rsidR="00F70C90" w:rsidRPr="00EF6A43">
        <w:trPr>
          <w:trHeight w:val="255"/>
        </w:trPr>
        <w:tc>
          <w:tcPr>
            <w:tcW w:w="3959" w:type="pct"/>
            <w:gridSpan w:val="2"/>
            <w:vMerge/>
            <w:tcBorders>
              <w:top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:rsidR="00F70C90" w:rsidRPr="00EF6A43" w:rsidRDefault="00F70C90" w:rsidP="005B3E35">
            <w:pPr>
              <w:pStyle w:val="TabulkaTL"/>
              <w:rPr>
                <w:b/>
                <w:bCs/>
                <w:color w:val="FFFFFF"/>
              </w:rPr>
            </w:pPr>
          </w:p>
        </w:tc>
        <w:tc>
          <w:tcPr>
            <w:tcW w:w="1041" w:type="pct"/>
            <w:tcBorders>
              <w:top w:val="single" w:sz="18" w:space="0" w:color="DBDCDD"/>
              <w:left w:val="single" w:sz="18" w:space="0" w:color="DBDCDD"/>
            </w:tcBorders>
            <w:shd w:val="clear" w:color="auto" w:fill="283164"/>
          </w:tcPr>
          <w:p w:rsidR="00F70C90" w:rsidRPr="00EF6A43" w:rsidRDefault="00F70C90" w:rsidP="005B3E35">
            <w:pPr>
              <w:pStyle w:val="TabulkaNR"/>
            </w:pPr>
            <w:r w:rsidRPr="00EF6A43">
              <w:t>Varianta I</w:t>
            </w:r>
          </w:p>
        </w:tc>
      </w:tr>
      <w:tr w:rsidR="00F70C90" w:rsidRPr="00EF6A43">
        <w:trPr>
          <w:trHeight w:val="272"/>
        </w:trPr>
        <w:tc>
          <w:tcPr>
            <w:tcW w:w="1500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EF6A43" w:rsidRDefault="00F70C90" w:rsidP="005B3E35">
            <w:pPr>
              <w:pStyle w:val="TabulkaTL"/>
            </w:pPr>
            <w:r w:rsidRPr="00EF6A43">
              <w:t>Vyjmenovaná strojní zařízení, včetně příslušenství</w:t>
            </w:r>
          </w:p>
        </w:tc>
        <w:tc>
          <w:tcPr>
            <w:tcW w:w="245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EF6A43" w:rsidRDefault="00F70C90" w:rsidP="005B3E35">
            <w:pPr>
              <w:pStyle w:val="TabulkaTL"/>
            </w:pPr>
            <w:r w:rsidRPr="00EF6A43">
              <w:t>Mobilní strojní zařízení, včetně příslušenství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F70C90" w:rsidRPr="00EF6A43" w:rsidRDefault="00F70C90" w:rsidP="005B3E35">
            <w:pPr>
              <w:pStyle w:val="TabulkaTR"/>
            </w:pPr>
            <w:r>
              <w:t>Bez limitu</w:t>
            </w:r>
          </w:p>
        </w:tc>
      </w:tr>
    </w:tbl>
    <w:p w:rsidR="00F70C90" w:rsidRDefault="00F70C90" w:rsidP="00EC626A">
      <w:pPr>
        <w:pStyle w:val="Nadpis4"/>
        <w:spacing w:before="120"/>
      </w:pPr>
      <w:r>
        <w:t>Použité pojmy</w:t>
      </w:r>
    </w:p>
    <w:tbl>
      <w:tblPr>
        <w:tblW w:w="9072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7087"/>
      </w:tblGrid>
      <w:tr w:rsidR="00F70C90" w:rsidRPr="00DB47FE">
        <w:tc>
          <w:tcPr>
            <w:tcW w:w="1985" w:type="dxa"/>
          </w:tcPr>
          <w:p w:rsidR="00F70C90" w:rsidRPr="005C7F9B" w:rsidRDefault="00F70C90" w:rsidP="00EC626A">
            <w:pPr>
              <w:rPr>
                <w:b/>
                <w:bCs/>
              </w:rPr>
            </w:pPr>
            <w:proofErr w:type="spellStart"/>
            <w:r w:rsidRPr="005C7F9B">
              <w:rPr>
                <w:b/>
                <w:bCs/>
              </w:rPr>
              <w:t>Allrisks</w:t>
            </w:r>
            <w:proofErr w:type="spellEnd"/>
          </w:p>
        </w:tc>
        <w:tc>
          <w:tcPr>
            <w:tcW w:w="7087" w:type="dxa"/>
          </w:tcPr>
          <w:p w:rsidR="00F70C90" w:rsidRPr="005C7F9B" w:rsidRDefault="00F70C90" w:rsidP="0029605F">
            <w:r w:rsidRPr="005C7F9B">
              <w:t>všechna nebezpečí, kromě výslovně vyloučených (běžně živelní nebezpečí, odcizení, vandalismus, válka, stávka; politická rizika; jaderné záření, reakce, kontaminace; běžné opotřebení; atmosférické vlivy</w:t>
            </w:r>
            <w:r>
              <w:t>; škody za které odpovídá smluvní partner; úmyslné jednání pojištěného; škody na vyměnitelných součástech a na součástech, které podléhají rychlému opotřebení</w:t>
            </w:r>
            <w:r w:rsidRPr="005C7F9B">
              <w:t>)</w:t>
            </w:r>
            <w:r>
              <w:t>.</w:t>
            </w:r>
          </w:p>
        </w:tc>
      </w:tr>
      <w:tr w:rsidR="00F70C90" w:rsidRPr="00DB47FE">
        <w:tc>
          <w:tcPr>
            <w:tcW w:w="1985" w:type="dxa"/>
          </w:tcPr>
          <w:p w:rsidR="00F70C90" w:rsidRPr="00D85780" w:rsidRDefault="00F70C90" w:rsidP="00EC626A">
            <w:pPr>
              <w:rPr>
                <w:b/>
                <w:bCs/>
                <w:highlight w:val="darkGray"/>
              </w:rPr>
            </w:pPr>
            <w:proofErr w:type="spellStart"/>
            <w:r w:rsidRPr="005C7F9B">
              <w:rPr>
                <w:b/>
                <w:bCs/>
              </w:rPr>
              <w:t>Kasko</w:t>
            </w:r>
            <w:proofErr w:type="spellEnd"/>
            <w:r w:rsidRPr="005C7F9B">
              <w:rPr>
                <w:b/>
                <w:bCs/>
              </w:rPr>
              <w:t xml:space="preserve"> rizika</w:t>
            </w:r>
          </w:p>
        </w:tc>
        <w:tc>
          <w:tcPr>
            <w:tcW w:w="7087" w:type="dxa"/>
          </w:tcPr>
          <w:p w:rsidR="00F70C90" w:rsidRPr="00D85780" w:rsidRDefault="00F70C90" w:rsidP="00EC626A">
            <w:pPr>
              <w:rPr>
                <w:highlight w:val="darkGray"/>
              </w:rPr>
            </w:pPr>
            <w:r w:rsidRPr="00037DF6">
              <w:t>havárie (náhlé nahodilé působení vnějších</w:t>
            </w:r>
            <w:r>
              <w:t xml:space="preserve"> mechanických sil - náraz, střet</w:t>
            </w:r>
            <w:r w:rsidRPr="00037DF6">
              <w:t>, pád); neoprávněné užití zařízení (užití zařízení proti vůli oprávněné osoby); živelní události (působení přírodních sil - požár, výbuch, úder blesku, zřícení skal, zemin nebo lavin, pád stromů nebo stožárů, vichřice, krupobití, povodeň nebo záplava).</w:t>
            </w:r>
          </w:p>
        </w:tc>
      </w:tr>
    </w:tbl>
    <w:p w:rsidR="00F70C90" w:rsidRDefault="00F70C90" w:rsidP="00EC626A">
      <w:pPr>
        <w:pStyle w:val="Nadpis4"/>
      </w:pPr>
      <w:r>
        <w:t>Místa pojištění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5"/>
        <w:gridCol w:w="2995"/>
      </w:tblGrid>
      <w:tr w:rsidR="00F70C90" w:rsidRPr="00ED6B69">
        <w:trPr>
          <w:trHeight w:val="255"/>
        </w:trPr>
        <w:tc>
          <w:tcPr>
            <w:tcW w:w="3374" w:type="pct"/>
            <w:tcBorders>
              <w:right w:val="single" w:sz="18" w:space="0" w:color="DBDCDD"/>
            </w:tcBorders>
            <w:shd w:val="clear" w:color="auto" w:fill="283164"/>
          </w:tcPr>
          <w:p w:rsidR="00F70C90" w:rsidRPr="00ED6B69" w:rsidRDefault="00F70C90" w:rsidP="00EC626A">
            <w:pPr>
              <w:pStyle w:val="TabulkaNL"/>
            </w:pPr>
            <w:r w:rsidRPr="00341F53">
              <w:br w:type="page"/>
            </w:r>
            <w:r w:rsidRPr="00ED6B69">
              <w:t>Adresa</w:t>
            </w:r>
          </w:p>
        </w:tc>
        <w:tc>
          <w:tcPr>
            <w:tcW w:w="1626" w:type="pct"/>
            <w:tcBorders>
              <w:left w:val="single" w:sz="18" w:space="0" w:color="DBDCDD"/>
            </w:tcBorders>
            <w:shd w:val="clear" w:color="auto" w:fill="283164"/>
          </w:tcPr>
          <w:p w:rsidR="00F70C90" w:rsidRPr="00ED6B69" w:rsidRDefault="00F70C90" w:rsidP="00EC626A">
            <w:pPr>
              <w:pStyle w:val="TabulkaNR"/>
            </w:pPr>
            <w:r w:rsidRPr="00ED6B69">
              <w:t xml:space="preserve">Limit plnění </w:t>
            </w:r>
          </w:p>
        </w:tc>
      </w:tr>
      <w:tr w:rsidR="00F70C90" w:rsidRPr="00ED6B69">
        <w:trPr>
          <w:trHeight w:val="255"/>
        </w:trPr>
        <w:tc>
          <w:tcPr>
            <w:tcW w:w="3374" w:type="pc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ED6B69" w:rsidRDefault="00F70C90" w:rsidP="005B3E35">
            <w:pPr>
              <w:pStyle w:val="TabulkaTR"/>
              <w:jc w:val="left"/>
            </w:pPr>
            <w:r w:rsidRPr="00ED6B69">
              <w:t xml:space="preserve">Katastrální území města </w:t>
            </w:r>
            <w:r>
              <w:t>Frenštát pod Radhoštěm</w:t>
            </w:r>
          </w:p>
        </w:tc>
        <w:tc>
          <w:tcPr>
            <w:tcW w:w="1626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F70C90" w:rsidRPr="00ED6B69" w:rsidRDefault="00F70C90" w:rsidP="00EC626A">
            <w:pPr>
              <w:pStyle w:val="TabulkaTR"/>
            </w:pPr>
            <w:r w:rsidRPr="00ED6B69">
              <w:t>-</w:t>
            </w:r>
          </w:p>
        </w:tc>
      </w:tr>
      <w:tr w:rsidR="00F70C90" w:rsidRPr="00ED6B69">
        <w:trPr>
          <w:trHeight w:val="255"/>
        </w:trPr>
        <w:tc>
          <w:tcPr>
            <w:tcW w:w="337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F70C90" w:rsidRPr="00ED6B69" w:rsidRDefault="00F70C90" w:rsidP="005B3E35">
            <w:pPr>
              <w:pStyle w:val="TabulkaTL"/>
            </w:pPr>
            <w:r w:rsidRPr="00ED6B69">
              <w:t xml:space="preserve">Území </w:t>
            </w:r>
            <w:r>
              <w:t>ČR – mobilní stroje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F70C90" w:rsidRPr="00ED6B69" w:rsidRDefault="00F70C90" w:rsidP="00EC626A">
            <w:pPr>
              <w:pStyle w:val="TabulkaTR"/>
            </w:pPr>
            <w:r>
              <w:t>-</w:t>
            </w:r>
          </w:p>
        </w:tc>
      </w:tr>
    </w:tbl>
    <w:p w:rsidR="00F70C90" w:rsidRDefault="00F70C90" w:rsidP="00DD4CC7"/>
    <w:p w:rsidR="00F70C90" w:rsidRDefault="00F70C90">
      <w:pPr>
        <w:spacing w:line="240" w:lineRule="auto"/>
        <w:jc w:val="left"/>
      </w:pPr>
      <w:r>
        <w:br w:type="page"/>
      </w:r>
    </w:p>
    <w:p w:rsidR="00F70C90" w:rsidRDefault="00F70C90" w:rsidP="00DD4CC7"/>
    <w:tbl>
      <w:tblPr>
        <w:tblW w:w="9169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9"/>
        <w:gridCol w:w="2945"/>
        <w:gridCol w:w="2455"/>
        <w:gridCol w:w="880"/>
        <w:gridCol w:w="1680"/>
        <w:gridCol w:w="680"/>
      </w:tblGrid>
      <w:tr w:rsidR="00F70C90" w:rsidRPr="008242A9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</w:tr>
      <w:tr w:rsidR="00F70C90" w:rsidRPr="008242A9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8242A9">
              <w:rPr>
                <w:b/>
                <w:bCs/>
                <w:color w:val="auto"/>
                <w:sz w:val="20"/>
                <w:szCs w:val="20"/>
                <w:lang w:eastAsia="cs-CZ"/>
              </w:rPr>
              <w:t>Poř</w:t>
            </w:r>
            <w:proofErr w:type="spellEnd"/>
            <w:r w:rsidRPr="008242A9">
              <w:rPr>
                <w:b/>
                <w:bCs/>
                <w:color w:val="auto"/>
                <w:sz w:val="20"/>
                <w:szCs w:val="20"/>
                <w:lang w:eastAsia="cs-CZ"/>
              </w:rPr>
              <w:t>. č.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auto"/>
                <w:sz w:val="20"/>
                <w:szCs w:val="20"/>
                <w:lang w:eastAsia="cs-CZ"/>
              </w:rPr>
              <w:t>Název zařízení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auto"/>
                <w:sz w:val="20"/>
                <w:szCs w:val="20"/>
                <w:lang w:eastAsia="cs-CZ"/>
              </w:rPr>
              <w:t>Výrobní číslo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auto"/>
                <w:sz w:val="20"/>
                <w:szCs w:val="20"/>
                <w:lang w:eastAsia="cs-CZ"/>
              </w:rPr>
              <w:t>Rok výroby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auto"/>
                <w:sz w:val="20"/>
                <w:szCs w:val="20"/>
                <w:lang w:eastAsia="cs-CZ"/>
              </w:rPr>
              <w:t>Pojistná částka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b/>
                <w:bCs/>
                <w:color w:val="auto"/>
                <w:sz w:val="20"/>
                <w:szCs w:val="20"/>
                <w:lang w:eastAsia="cs-CZ"/>
              </w:rPr>
              <w:t>DPH</w:t>
            </w:r>
          </w:p>
        </w:tc>
      </w:tr>
      <w:tr w:rsidR="00F70C90" w:rsidRPr="008242A9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F70C90" w:rsidRPr="008242A9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8242A9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 xml:space="preserve">sekačka ETESIA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>
              <w:rPr>
                <w:color w:val="auto"/>
                <w:sz w:val="20"/>
                <w:szCs w:val="20"/>
                <w:lang w:eastAsia="cs-CZ"/>
              </w:rPr>
              <w:t>105226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2018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842 160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73D8F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>sekačka ETESIA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>
              <w:rPr>
                <w:color w:val="auto"/>
                <w:sz w:val="20"/>
                <w:szCs w:val="20"/>
                <w:lang w:eastAsia="cs-CZ"/>
              </w:rPr>
              <w:t>105454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2019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857 890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73D8F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  <w:tr w:rsidR="00F70C90" w:rsidRPr="004D255D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proofErr w:type="spellStart"/>
            <w:r w:rsidRPr="00AF2409">
              <w:rPr>
                <w:color w:val="auto"/>
                <w:lang w:eastAsia="cs-CZ"/>
              </w:rPr>
              <w:t>mulčovač</w:t>
            </w:r>
            <w:proofErr w:type="spellEnd"/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4D255D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4D255D">
              <w:rPr>
                <w:color w:val="auto"/>
                <w:sz w:val="20"/>
                <w:szCs w:val="20"/>
                <w:lang w:eastAsia="cs-CZ"/>
              </w:rPr>
              <w:t> KP 2800 S 82518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4D255D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 w:rsidRPr="004D255D">
              <w:rPr>
                <w:color w:val="auto"/>
                <w:lang w:eastAsia="cs-CZ"/>
              </w:rPr>
              <w:t>2008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4D255D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 w:rsidRPr="004D255D">
              <w:rPr>
                <w:color w:val="auto"/>
                <w:lang w:eastAsia="cs-CZ"/>
              </w:rPr>
              <w:t>139 825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4D255D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4D255D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 xml:space="preserve">Sekačka mulčovací </w:t>
            </w:r>
            <w:proofErr w:type="spellStart"/>
            <w:r w:rsidRPr="00AF2409">
              <w:rPr>
                <w:color w:val="auto"/>
                <w:lang w:eastAsia="cs-CZ"/>
              </w:rPr>
              <w:t>Scag</w:t>
            </w:r>
            <w:proofErr w:type="spellEnd"/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color w:val="auto"/>
                <w:sz w:val="20"/>
                <w:szCs w:val="20"/>
                <w:lang w:eastAsia="cs-CZ"/>
              </w:rPr>
              <w:t> </w:t>
            </w:r>
            <w:r>
              <w:rPr>
                <w:color w:val="auto"/>
                <w:sz w:val="20"/>
                <w:szCs w:val="20"/>
                <w:lang w:eastAsia="cs-CZ"/>
              </w:rPr>
              <w:t>F5800146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2011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300 000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>příkopový stroj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4D255D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4D255D">
              <w:rPr>
                <w:color w:val="auto"/>
                <w:sz w:val="20"/>
                <w:szCs w:val="20"/>
                <w:lang w:eastAsia="cs-CZ"/>
              </w:rPr>
              <w:t> VISUAL650 2416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4D255D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 w:rsidRPr="004D255D">
              <w:rPr>
                <w:color w:val="auto"/>
                <w:lang w:eastAsia="cs-CZ"/>
              </w:rPr>
              <w:t>2002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 w:rsidRPr="004D255D">
              <w:rPr>
                <w:color w:val="auto"/>
                <w:lang w:eastAsia="cs-CZ"/>
              </w:rPr>
              <w:t>250 000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>Sekačka ETESIA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4D255D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4D255D">
              <w:rPr>
                <w:color w:val="auto"/>
                <w:sz w:val="20"/>
                <w:szCs w:val="20"/>
                <w:lang w:eastAsia="cs-CZ"/>
              </w:rPr>
              <w:t> H124D104514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4D255D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 w:rsidRPr="004D255D">
              <w:rPr>
                <w:color w:val="auto"/>
                <w:lang w:eastAsia="cs-CZ"/>
              </w:rPr>
              <w:t>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 xml:space="preserve">500 </w:t>
            </w:r>
            <w:r w:rsidRPr="004D255D">
              <w:rPr>
                <w:color w:val="auto"/>
                <w:lang w:eastAsia="cs-CZ"/>
              </w:rPr>
              <w:t>000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>hydraulická ruka (IVECO)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color w:val="auto"/>
                <w:sz w:val="20"/>
                <w:szCs w:val="20"/>
                <w:lang w:eastAsia="cs-CZ"/>
              </w:rPr>
              <w:t> </w:t>
            </w:r>
            <w:r>
              <w:rPr>
                <w:color w:val="auto"/>
                <w:sz w:val="20"/>
                <w:szCs w:val="20"/>
                <w:lang w:eastAsia="cs-CZ"/>
              </w:rPr>
              <w:t>27 437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 w:rsidRPr="00D94080">
              <w:rPr>
                <w:color w:val="auto"/>
                <w:lang w:eastAsia="cs-CZ"/>
              </w:rPr>
              <w:t>2008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 w:rsidRPr="00D94080">
              <w:rPr>
                <w:color w:val="auto"/>
                <w:lang w:eastAsia="cs-CZ"/>
              </w:rPr>
              <w:t>500 000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>Plošina - přívěs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color w:val="auto"/>
                <w:sz w:val="20"/>
                <w:szCs w:val="20"/>
                <w:lang w:eastAsia="cs-CZ"/>
              </w:rPr>
              <w:t> </w:t>
            </w:r>
            <w:r>
              <w:rPr>
                <w:color w:val="auto"/>
                <w:sz w:val="20"/>
                <w:szCs w:val="20"/>
                <w:lang w:eastAsia="cs-CZ"/>
              </w:rPr>
              <w:t>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 w:rsidRPr="00D94080">
              <w:rPr>
                <w:color w:val="auto"/>
                <w:lang w:eastAsia="cs-CZ"/>
              </w:rPr>
              <w:t>2001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150 000</w:t>
            </w:r>
            <w:r w:rsidRPr="00D94080">
              <w:rPr>
                <w:color w:val="auto"/>
                <w:lang w:eastAsia="cs-CZ"/>
              </w:rPr>
              <w:t xml:space="preserve">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 xml:space="preserve">Manipulátor New </w:t>
            </w:r>
            <w:proofErr w:type="spellStart"/>
            <w:r w:rsidRPr="00AF2409">
              <w:rPr>
                <w:color w:val="auto"/>
                <w:lang w:eastAsia="cs-CZ"/>
              </w:rPr>
              <w:t>Holland</w:t>
            </w:r>
            <w:proofErr w:type="spellEnd"/>
            <w:r w:rsidRPr="00AF2409">
              <w:rPr>
                <w:color w:val="auto"/>
                <w:lang w:eastAsia="cs-CZ"/>
              </w:rPr>
              <w:t xml:space="preserve"> LM5060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>
              <w:rPr>
                <w:color w:val="auto"/>
                <w:sz w:val="20"/>
                <w:szCs w:val="20"/>
                <w:lang w:eastAsia="cs-CZ"/>
              </w:rPr>
              <w:t>ZDKA30276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2013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1 300 000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AB5B45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>Plošina MAN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>
              <w:rPr>
                <w:color w:val="auto"/>
                <w:sz w:val="20"/>
                <w:szCs w:val="20"/>
                <w:lang w:eastAsia="cs-CZ"/>
              </w:rPr>
              <w:t>8150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1992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800 000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1</w:t>
            </w:r>
            <w:r w:rsidR="00AB5B45" w:rsidRPr="00AF2409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proofErr w:type="spellStart"/>
            <w:r w:rsidRPr="00AF2409">
              <w:rPr>
                <w:color w:val="auto"/>
                <w:lang w:eastAsia="cs-CZ"/>
              </w:rPr>
              <w:t>Ladog</w:t>
            </w:r>
            <w:proofErr w:type="spellEnd"/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>
              <w:rPr>
                <w:color w:val="auto"/>
                <w:sz w:val="20"/>
                <w:szCs w:val="20"/>
                <w:lang w:eastAsia="cs-CZ"/>
              </w:rPr>
              <w:t>G129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2014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400 000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  <w:tr w:rsidR="00F70C90" w:rsidRPr="008242A9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1</w:t>
            </w:r>
            <w:r w:rsidR="00AB5B45" w:rsidRPr="00AF2409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8242A9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proofErr w:type="spellStart"/>
            <w:r w:rsidRPr="00AF2409">
              <w:rPr>
                <w:color w:val="auto"/>
                <w:lang w:eastAsia="cs-CZ"/>
              </w:rPr>
              <w:t>Ladog</w:t>
            </w:r>
            <w:proofErr w:type="spellEnd"/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Default="00F70C90" w:rsidP="008242A9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>
              <w:rPr>
                <w:color w:val="auto"/>
                <w:sz w:val="20"/>
                <w:szCs w:val="20"/>
                <w:lang w:eastAsia="cs-CZ"/>
              </w:rPr>
              <w:t>G129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8242A9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2009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8242A9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400 000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  <w:tr w:rsidR="00F70C90" w:rsidRPr="008242A9" w:rsidTr="002B2642">
        <w:trPr>
          <w:trHeight w:val="27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C90" w:rsidRPr="00AF2409" w:rsidRDefault="00F70C90" w:rsidP="002B2642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AF2409">
              <w:rPr>
                <w:color w:val="auto"/>
                <w:sz w:val="20"/>
                <w:szCs w:val="20"/>
                <w:lang w:eastAsia="cs-CZ"/>
              </w:rPr>
              <w:t>1</w:t>
            </w:r>
            <w:r w:rsidR="00AB5B45" w:rsidRPr="00AF2409">
              <w:rPr>
                <w:color w:val="auto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AF2409" w:rsidRDefault="00F70C90" w:rsidP="002B2642">
            <w:pPr>
              <w:spacing w:line="240" w:lineRule="auto"/>
              <w:jc w:val="left"/>
              <w:rPr>
                <w:color w:val="auto"/>
                <w:lang w:eastAsia="cs-CZ"/>
              </w:rPr>
            </w:pPr>
            <w:r w:rsidRPr="00AF2409">
              <w:rPr>
                <w:color w:val="auto"/>
                <w:lang w:eastAsia="cs-CZ"/>
              </w:rPr>
              <w:t xml:space="preserve">New </w:t>
            </w:r>
            <w:proofErr w:type="spellStart"/>
            <w:r w:rsidRPr="00AF2409">
              <w:rPr>
                <w:color w:val="auto"/>
                <w:lang w:eastAsia="cs-CZ"/>
              </w:rPr>
              <w:t>Holland</w:t>
            </w:r>
            <w:proofErr w:type="spellEnd"/>
            <w:r w:rsidRPr="00AF2409">
              <w:rPr>
                <w:color w:val="auto"/>
                <w:lang w:eastAsia="cs-CZ"/>
              </w:rPr>
              <w:t xml:space="preserve"> - </w:t>
            </w:r>
            <w:proofErr w:type="spellStart"/>
            <w:r w:rsidRPr="00AF2409">
              <w:rPr>
                <w:color w:val="auto"/>
                <w:lang w:eastAsia="cs-CZ"/>
              </w:rPr>
              <w:t>traktorbagr</w:t>
            </w:r>
            <w:proofErr w:type="spellEnd"/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Default="00F70C90" w:rsidP="002B2642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>
              <w:rPr>
                <w:color w:val="auto"/>
                <w:sz w:val="20"/>
                <w:szCs w:val="20"/>
                <w:lang w:eastAsia="cs-CZ"/>
              </w:rPr>
              <w:t>FNHB115CNFHH01254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2B2642">
            <w:pPr>
              <w:spacing w:line="240" w:lineRule="auto"/>
              <w:jc w:val="center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2015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Default="00F70C90" w:rsidP="002B2642">
            <w:pPr>
              <w:spacing w:line="240" w:lineRule="auto"/>
              <w:jc w:val="right"/>
              <w:rPr>
                <w:color w:val="auto"/>
                <w:lang w:eastAsia="cs-CZ"/>
              </w:rPr>
            </w:pPr>
            <w:r>
              <w:rPr>
                <w:color w:val="auto"/>
                <w:lang w:eastAsia="cs-CZ"/>
              </w:rPr>
              <w:t>2 300 000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0C90" w:rsidRPr="00D94080" w:rsidRDefault="00F70C90" w:rsidP="002B2642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  <w:tr w:rsidR="00F70C90" w:rsidRPr="008242A9">
        <w:trPr>
          <w:trHeight w:val="255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right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left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</w:p>
        </w:tc>
      </w:tr>
      <w:tr w:rsidR="00F70C90" w:rsidRPr="008242A9">
        <w:trPr>
          <w:trHeight w:val="255"/>
        </w:trPr>
        <w:tc>
          <w:tcPr>
            <w:tcW w:w="6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b/>
                <w:bCs/>
                <w:color w:val="auto"/>
                <w:sz w:val="20"/>
                <w:szCs w:val="20"/>
                <w:lang w:eastAsia="cs-CZ"/>
              </w:rPr>
              <w:t>Pojistná částka celkem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AF2409" w:rsidRDefault="00AF2409" w:rsidP="00AF2409">
            <w:pPr>
              <w:spacing w:line="240" w:lineRule="auto"/>
              <w:jc w:val="right"/>
              <w:rPr>
                <w:rFonts w:ascii="Calibri" w:hAnsi="Calibri" w:cs="Times New Roman"/>
                <w:sz w:val="22"/>
                <w:szCs w:val="22"/>
                <w:lang w:eastAsia="cs-CZ"/>
              </w:rPr>
            </w:pPr>
            <w:r>
              <w:rPr>
                <w:rFonts w:ascii="Calibri" w:hAnsi="Calibri"/>
                <w:sz w:val="22"/>
                <w:szCs w:val="22"/>
              </w:rPr>
              <w:t>8 739 875 Kč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0C90" w:rsidRPr="00D94080" w:rsidRDefault="00F70C90" w:rsidP="008242A9">
            <w:pPr>
              <w:spacing w:line="240" w:lineRule="auto"/>
              <w:jc w:val="left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D94080">
              <w:rPr>
                <w:b/>
                <w:bCs/>
                <w:color w:val="auto"/>
                <w:sz w:val="20"/>
                <w:szCs w:val="20"/>
                <w:lang w:eastAsia="cs-CZ"/>
              </w:rPr>
              <w:t> </w:t>
            </w:r>
          </w:p>
        </w:tc>
      </w:tr>
    </w:tbl>
    <w:p w:rsidR="00F70C90" w:rsidRDefault="00AB5B45" w:rsidP="00AB5B45">
      <w:r>
        <w:t xml:space="preserve">Pojistné částky položek řádků 3 – 12 jsou v cenách roku 2017, řádek 1,2,13 je pořizovací hodnotou </w:t>
      </w:r>
    </w:p>
    <w:sectPr w:rsidR="00F70C90" w:rsidSect="008242A9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780" w:rsidRDefault="00D85780" w:rsidP="004F5014">
      <w:pPr>
        <w:spacing w:line="240" w:lineRule="auto"/>
      </w:pPr>
      <w:r>
        <w:separator/>
      </w:r>
    </w:p>
  </w:endnote>
  <w:endnote w:type="continuationSeparator" w:id="0">
    <w:p w:rsidR="00D85780" w:rsidRDefault="00D85780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C90" w:rsidRDefault="00F70C90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78430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84304">
      <w:rPr>
        <w:b/>
        <w:bCs/>
        <w:noProof/>
      </w:rPr>
      <w:t>2</w:t>
    </w:r>
    <w:r>
      <w:rPr>
        <w:b/>
        <w:bCs/>
      </w:rPr>
      <w:fldChar w:fldCharType="end"/>
    </w:r>
  </w:p>
  <w:p w:rsidR="00F70C90" w:rsidRPr="00DF4ED5" w:rsidRDefault="00F70C90" w:rsidP="00DF4E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780" w:rsidRDefault="00D85780" w:rsidP="004F5014">
      <w:pPr>
        <w:spacing w:line="240" w:lineRule="auto"/>
      </w:pPr>
      <w:r>
        <w:separator/>
      </w:r>
    </w:p>
  </w:footnote>
  <w:footnote w:type="continuationSeparator" w:id="0">
    <w:p w:rsidR="00D85780" w:rsidRDefault="00D85780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C90" w:rsidRDefault="00784304" w:rsidP="004F5014">
    <w:pPr>
      <w:pStyle w:val="Zhlav"/>
      <w:jc w:val="right"/>
    </w:pPr>
    <w:r>
      <w:t>Příloha č. 2g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pStyle w:val="Nadpis3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>
    <w:nsid w:val="059C7370"/>
    <w:multiLevelType w:val="multilevel"/>
    <w:tmpl w:val="B3E8620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1A0274DD"/>
    <w:multiLevelType w:val="multilevel"/>
    <w:tmpl w:val="271CCF9A"/>
    <w:lvl w:ilvl="0">
      <w:start w:val="1"/>
      <w:numFmt w:val="decimal"/>
      <w:pStyle w:val="PNadpis1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pStyle w:val="PNadpis3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>
    <w:nsid w:val="29560428"/>
    <w:multiLevelType w:val="multilevel"/>
    <w:tmpl w:val="E7CC3C2E"/>
    <w:lvl w:ilvl="0">
      <w:start w:val="1"/>
      <w:numFmt w:val="decimal"/>
      <w:pStyle w:val="Seznamsodrkami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5"/>
  </w:num>
  <w:num w:numId="11">
    <w:abstractNumId w:val="5"/>
  </w:num>
  <w:num w:numId="12">
    <w:abstractNumId w:val="0"/>
  </w:num>
  <w:num w:numId="13">
    <w:abstractNumId w:val="4"/>
  </w:num>
  <w:num w:numId="14">
    <w:abstractNumId w:val="2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4"/>
    <w:rsid w:val="00003285"/>
    <w:rsid w:val="000333DA"/>
    <w:rsid w:val="00037DF6"/>
    <w:rsid w:val="000B01BA"/>
    <w:rsid w:val="000B4609"/>
    <w:rsid w:val="000E365F"/>
    <w:rsid w:val="000F253B"/>
    <w:rsid w:val="000F6949"/>
    <w:rsid w:val="00127BE9"/>
    <w:rsid w:val="0015110A"/>
    <w:rsid w:val="00161064"/>
    <w:rsid w:val="0016643B"/>
    <w:rsid w:val="001A6F0E"/>
    <w:rsid w:val="001B2E16"/>
    <w:rsid w:val="001D31A1"/>
    <w:rsid w:val="00212799"/>
    <w:rsid w:val="0025110D"/>
    <w:rsid w:val="00256F10"/>
    <w:rsid w:val="002776E5"/>
    <w:rsid w:val="0029605F"/>
    <w:rsid w:val="002A5DBA"/>
    <w:rsid w:val="002B2642"/>
    <w:rsid w:val="002E1918"/>
    <w:rsid w:val="002E77FA"/>
    <w:rsid w:val="002F2972"/>
    <w:rsid w:val="00317016"/>
    <w:rsid w:val="003239D5"/>
    <w:rsid w:val="00341F53"/>
    <w:rsid w:val="003507BA"/>
    <w:rsid w:val="00387640"/>
    <w:rsid w:val="003B17E5"/>
    <w:rsid w:val="003D4888"/>
    <w:rsid w:val="003F5BAB"/>
    <w:rsid w:val="004340BD"/>
    <w:rsid w:val="004611EC"/>
    <w:rsid w:val="00472513"/>
    <w:rsid w:val="00497D94"/>
    <w:rsid w:val="004A5503"/>
    <w:rsid w:val="004D255D"/>
    <w:rsid w:val="004F5014"/>
    <w:rsid w:val="004F6636"/>
    <w:rsid w:val="00531461"/>
    <w:rsid w:val="005908D5"/>
    <w:rsid w:val="005A3ADD"/>
    <w:rsid w:val="005A4B5A"/>
    <w:rsid w:val="005B3E35"/>
    <w:rsid w:val="005C2DCE"/>
    <w:rsid w:val="005C7F9B"/>
    <w:rsid w:val="005D54E4"/>
    <w:rsid w:val="005F74B3"/>
    <w:rsid w:val="006B399C"/>
    <w:rsid w:val="006C1451"/>
    <w:rsid w:val="006E55E7"/>
    <w:rsid w:val="00712D72"/>
    <w:rsid w:val="00716DF9"/>
    <w:rsid w:val="00722B68"/>
    <w:rsid w:val="007260BC"/>
    <w:rsid w:val="007428B0"/>
    <w:rsid w:val="00764ED6"/>
    <w:rsid w:val="00776B81"/>
    <w:rsid w:val="00783771"/>
    <w:rsid w:val="00784304"/>
    <w:rsid w:val="007A5B0F"/>
    <w:rsid w:val="007B2482"/>
    <w:rsid w:val="007D4C11"/>
    <w:rsid w:val="007F6C3F"/>
    <w:rsid w:val="008242A9"/>
    <w:rsid w:val="00832E89"/>
    <w:rsid w:val="00837299"/>
    <w:rsid w:val="0084377A"/>
    <w:rsid w:val="008524B9"/>
    <w:rsid w:val="00866600"/>
    <w:rsid w:val="00867FEE"/>
    <w:rsid w:val="008F57E7"/>
    <w:rsid w:val="008F61AF"/>
    <w:rsid w:val="008F79D1"/>
    <w:rsid w:val="00905EBF"/>
    <w:rsid w:val="00916E42"/>
    <w:rsid w:val="009508CF"/>
    <w:rsid w:val="00997CB0"/>
    <w:rsid w:val="009A00E8"/>
    <w:rsid w:val="009A7ED0"/>
    <w:rsid w:val="009B5216"/>
    <w:rsid w:val="009E66E6"/>
    <w:rsid w:val="00A3678A"/>
    <w:rsid w:val="00A43AD8"/>
    <w:rsid w:val="00A45FE3"/>
    <w:rsid w:val="00A82DDB"/>
    <w:rsid w:val="00AB5B45"/>
    <w:rsid w:val="00AC09D9"/>
    <w:rsid w:val="00AE02FA"/>
    <w:rsid w:val="00AF2409"/>
    <w:rsid w:val="00AF6F4A"/>
    <w:rsid w:val="00B35F64"/>
    <w:rsid w:val="00B538D3"/>
    <w:rsid w:val="00B94A58"/>
    <w:rsid w:val="00BC3F1E"/>
    <w:rsid w:val="00BC4B83"/>
    <w:rsid w:val="00C63424"/>
    <w:rsid w:val="00C97F82"/>
    <w:rsid w:val="00CC1902"/>
    <w:rsid w:val="00CD7C3D"/>
    <w:rsid w:val="00D05845"/>
    <w:rsid w:val="00D21E52"/>
    <w:rsid w:val="00D22B8F"/>
    <w:rsid w:val="00D43C4C"/>
    <w:rsid w:val="00D523F3"/>
    <w:rsid w:val="00D7148D"/>
    <w:rsid w:val="00D73D8F"/>
    <w:rsid w:val="00D85780"/>
    <w:rsid w:val="00D94080"/>
    <w:rsid w:val="00DB47FE"/>
    <w:rsid w:val="00DD4CC7"/>
    <w:rsid w:val="00DD609B"/>
    <w:rsid w:val="00DF4ED5"/>
    <w:rsid w:val="00E228C9"/>
    <w:rsid w:val="00EC626A"/>
    <w:rsid w:val="00ED6B69"/>
    <w:rsid w:val="00EF6A43"/>
    <w:rsid w:val="00F200B0"/>
    <w:rsid w:val="00F451A9"/>
    <w:rsid w:val="00F46B2F"/>
    <w:rsid w:val="00F54238"/>
    <w:rsid w:val="00F70C90"/>
    <w:rsid w:val="00F845C2"/>
    <w:rsid w:val="00FA4ACC"/>
    <w:rsid w:val="00FD2B40"/>
    <w:rsid w:val="00FE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hAnsi="Arial" w:cs="Arial"/>
      <w:color w:val="000000"/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524B9"/>
    <w:pPr>
      <w:widowControl w:val="0"/>
      <w:spacing w:after="220"/>
      <w:ind w:left="432" w:hanging="432"/>
      <w:jc w:val="left"/>
      <w:outlineLvl w:val="0"/>
    </w:pPr>
    <w:rPr>
      <w:b/>
      <w:bCs/>
      <w:noProof/>
      <w:color w:val="283164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524B9"/>
    <w:pPr>
      <w:widowControl w:val="0"/>
      <w:numPr>
        <w:ilvl w:val="1"/>
        <w:numId w:val="5"/>
      </w:numPr>
      <w:tabs>
        <w:tab w:val="clear" w:pos="643"/>
      </w:tabs>
      <w:spacing w:before="220" w:after="220"/>
      <w:ind w:left="576" w:hanging="576"/>
      <w:outlineLvl w:val="1"/>
    </w:pPr>
    <w:rPr>
      <w:b/>
      <w:bCs/>
      <w:color w:val="283164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524B9"/>
    <w:pPr>
      <w:keepNext/>
      <w:numPr>
        <w:ilvl w:val="2"/>
        <w:numId w:val="5"/>
      </w:numPr>
      <w:tabs>
        <w:tab w:val="clear" w:pos="643"/>
      </w:tabs>
      <w:spacing w:before="220" w:after="220"/>
      <w:ind w:left="720" w:hanging="720"/>
      <w:outlineLvl w:val="2"/>
    </w:pPr>
    <w:rPr>
      <w:b/>
      <w:bCs/>
      <w:color w:val="283164"/>
    </w:rPr>
  </w:style>
  <w:style w:type="paragraph" w:styleId="Nadpis4">
    <w:name w:val="heading 4"/>
    <w:basedOn w:val="Normln"/>
    <w:next w:val="Normln"/>
    <w:link w:val="Nadpis4Char"/>
    <w:uiPriority w:val="99"/>
    <w:qFormat/>
    <w:rsid w:val="00CC1902"/>
    <w:pPr>
      <w:keepNext/>
      <w:spacing w:before="240" w:after="60"/>
      <w:outlineLvl w:val="3"/>
    </w:pPr>
    <w:rPr>
      <w:b/>
      <w:bCs/>
      <w:color w:val="28316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F3057A"/>
    <w:rPr>
      <w:rFonts w:ascii="Arial" w:hAnsi="Arial" w:cs="Arial"/>
      <w:b/>
      <w:bCs/>
      <w:noProof/>
      <w:color w:val="283164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F3057A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F3057A"/>
    <w:rPr>
      <w:rFonts w:ascii="Cambria" w:eastAsia="Times New Roman" w:hAnsi="Cambria" w:cs="Times New Roman"/>
      <w:b/>
      <w:bCs/>
      <w:color w:val="000000"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locked/>
    <w:rsid w:val="00CC1902"/>
    <w:rPr>
      <w:rFonts w:ascii="Arial" w:hAnsi="Arial" w:cs="Arial"/>
      <w:b/>
      <w:bCs/>
      <w:color w:val="283164"/>
      <w:sz w:val="28"/>
      <w:szCs w:val="28"/>
      <w:lang w:eastAsia="en-US"/>
    </w:rPr>
  </w:style>
  <w:style w:type="paragraph" w:styleId="slovanseznam">
    <w:name w:val="List Number"/>
    <w:basedOn w:val="Normln"/>
    <w:uiPriority w:val="99"/>
    <w:rsid w:val="008524B9"/>
    <w:pPr>
      <w:numPr>
        <w:numId w:val="8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8524B9"/>
    <w:pPr>
      <w:spacing w:before="120"/>
      <w:jc w:val="center"/>
    </w:pPr>
    <w:rPr>
      <w:b/>
      <w:bCs/>
      <w:color w:val="283164"/>
      <w:sz w:val="32"/>
      <w:szCs w:val="32"/>
    </w:rPr>
  </w:style>
  <w:style w:type="character" w:customStyle="1" w:styleId="NzevChar">
    <w:name w:val="Název Char"/>
    <w:link w:val="Nzev"/>
    <w:uiPriority w:val="10"/>
    <w:rsid w:val="00F3057A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en-US"/>
    </w:rPr>
  </w:style>
  <w:style w:type="paragraph" w:styleId="slovanseznam2">
    <w:name w:val="List Number 2"/>
    <w:basedOn w:val="Normln"/>
    <w:uiPriority w:val="99"/>
    <w:rsid w:val="008524B9"/>
    <w:pPr>
      <w:numPr>
        <w:ilvl w:val="1"/>
        <w:numId w:val="13"/>
      </w:numPr>
    </w:pPr>
  </w:style>
  <w:style w:type="paragraph" w:styleId="Seznamsodrkami">
    <w:name w:val="List Bullet"/>
    <w:basedOn w:val="Normln"/>
    <w:uiPriority w:val="99"/>
    <w:rsid w:val="008524B9"/>
    <w:pPr>
      <w:numPr>
        <w:numId w:val="9"/>
      </w:numPr>
      <w:tabs>
        <w:tab w:val="num" w:pos="360"/>
      </w:tabs>
      <w:ind w:left="360" w:hanging="360"/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4F501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F5014"/>
    <w:rPr>
      <w:rFonts w:ascii="Arial" w:hAnsi="Arial" w:cs="Arial"/>
      <w:sz w:val="24"/>
      <w:szCs w:val="24"/>
    </w:rPr>
  </w:style>
  <w:style w:type="paragraph" w:customStyle="1" w:styleId="TabulkaNL">
    <w:name w:val="Tabulka_NL"/>
    <w:basedOn w:val="Normln"/>
    <w:uiPriority w:val="99"/>
    <w:rsid w:val="00CC1902"/>
    <w:pPr>
      <w:spacing w:line="220" w:lineRule="atLeast"/>
      <w:jc w:val="left"/>
    </w:pPr>
    <w:rPr>
      <w:b/>
      <w:bCs/>
      <w:color w:val="FFFFFF"/>
      <w:sz w:val="16"/>
      <w:szCs w:val="16"/>
    </w:rPr>
  </w:style>
  <w:style w:type="paragraph" w:customStyle="1" w:styleId="TabulkaTL">
    <w:name w:val="Tabulka_TL"/>
    <w:basedOn w:val="Normln"/>
    <w:uiPriority w:val="99"/>
    <w:rsid w:val="00CC1902"/>
    <w:pPr>
      <w:spacing w:line="220" w:lineRule="atLeast"/>
      <w:jc w:val="left"/>
    </w:pPr>
    <w:rPr>
      <w:sz w:val="16"/>
      <w:szCs w:val="16"/>
    </w:rPr>
  </w:style>
  <w:style w:type="paragraph" w:customStyle="1" w:styleId="TabulkaTR">
    <w:name w:val="Tabulka_TR"/>
    <w:basedOn w:val="TabulkaTL"/>
    <w:uiPriority w:val="99"/>
    <w:rsid w:val="00CC1902"/>
    <w:pPr>
      <w:jc w:val="right"/>
    </w:pPr>
  </w:style>
  <w:style w:type="paragraph" w:customStyle="1" w:styleId="TabulkaNR">
    <w:name w:val="Tabulka_NR"/>
    <w:basedOn w:val="Normln"/>
    <w:uiPriority w:val="99"/>
    <w:rsid w:val="00CC1902"/>
    <w:pPr>
      <w:spacing w:line="220" w:lineRule="atLeast"/>
      <w:jc w:val="right"/>
    </w:pPr>
    <w:rPr>
      <w:b/>
      <w:bCs/>
      <w:color w:val="FFFFFF"/>
      <w:sz w:val="16"/>
      <w:szCs w:val="16"/>
    </w:rPr>
  </w:style>
  <w:style w:type="paragraph" w:customStyle="1" w:styleId="PNadpis1">
    <w:name w:val="P_Nadpis_1"/>
    <w:basedOn w:val="Nadpis1"/>
    <w:uiPriority w:val="99"/>
    <w:rsid w:val="00CC1902"/>
    <w:pPr>
      <w:pageBreakBefore/>
      <w:numPr>
        <w:numId w:val="13"/>
      </w:numPr>
      <w:tabs>
        <w:tab w:val="clear" w:pos="643"/>
        <w:tab w:val="num" w:pos="357"/>
      </w:tabs>
      <w:spacing w:after="0" w:line="500" w:lineRule="atLeast"/>
      <w:ind w:left="360"/>
    </w:pPr>
    <w:rPr>
      <w:noProof w:val="0"/>
      <w:kern w:val="32"/>
      <w:sz w:val="40"/>
      <w:szCs w:val="40"/>
    </w:rPr>
  </w:style>
  <w:style w:type="paragraph" w:customStyle="1" w:styleId="PNadpis2">
    <w:name w:val="P_Nadpis_2"/>
    <w:basedOn w:val="Nadpis2"/>
    <w:uiPriority w:val="99"/>
    <w:rsid w:val="00CC1902"/>
    <w:pPr>
      <w:keepNext/>
      <w:widowControl/>
      <w:numPr>
        <w:ilvl w:val="0"/>
        <w:numId w:val="0"/>
      </w:numPr>
      <w:tabs>
        <w:tab w:val="num" w:pos="510"/>
      </w:tabs>
      <w:spacing w:before="280" w:after="280"/>
      <w:ind w:left="510" w:hanging="510"/>
      <w:jc w:val="left"/>
    </w:pPr>
  </w:style>
  <w:style w:type="paragraph" w:customStyle="1" w:styleId="PNadpis3">
    <w:name w:val="P_Nadpis_3"/>
    <w:basedOn w:val="Nadpis3"/>
    <w:uiPriority w:val="99"/>
    <w:rsid w:val="00CC1902"/>
    <w:pPr>
      <w:numPr>
        <w:numId w:val="13"/>
      </w:numPr>
      <w:tabs>
        <w:tab w:val="clear" w:pos="1363"/>
        <w:tab w:val="num" w:pos="680"/>
      </w:tabs>
      <w:spacing w:before="280" w:after="60"/>
      <w:ind w:left="680" w:hanging="680"/>
    </w:pPr>
  </w:style>
  <w:style w:type="paragraph" w:customStyle="1" w:styleId="TabulkaNM">
    <w:name w:val="Tabulka_NM"/>
    <w:basedOn w:val="TabulkaNL"/>
    <w:uiPriority w:val="99"/>
    <w:rsid w:val="00C97F82"/>
    <w:pPr>
      <w:jc w:val="center"/>
    </w:pPr>
  </w:style>
  <w:style w:type="paragraph" w:styleId="Textbubliny">
    <w:name w:val="Balloon Text"/>
    <w:basedOn w:val="Normln"/>
    <w:link w:val="TextbublinyChar"/>
    <w:uiPriority w:val="99"/>
    <w:semiHidden/>
    <w:rsid w:val="00D73D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057A"/>
    <w:rPr>
      <w:color w:val="000000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hAnsi="Arial" w:cs="Arial"/>
      <w:color w:val="000000"/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524B9"/>
    <w:pPr>
      <w:widowControl w:val="0"/>
      <w:spacing w:after="220"/>
      <w:ind w:left="432" w:hanging="432"/>
      <w:jc w:val="left"/>
      <w:outlineLvl w:val="0"/>
    </w:pPr>
    <w:rPr>
      <w:b/>
      <w:bCs/>
      <w:noProof/>
      <w:color w:val="283164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524B9"/>
    <w:pPr>
      <w:widowControl w:val="0"/>
      <w:numPr>
        <w:ilvl w:val="1"/>
        <w:numId w:val="5"/>
      </w:numPr>
      <w:tabs>
        <w:tab w:val="clear" w:pos="643"/>
      </w:tabs>
      <w:spacing w:before="220" w:after="220"/>
      <w:ind w:left="576" w:hanging="576"/>
      <w:outlineLvl w:val="1"/>
    </w:pPr>
    <w:rPr>
      <w:b/>
      <w:bCs/>
      <w:color w:val="283164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524B9"/>
    <w:pPr>
      <w:keepNext/>
      <w:numPr>
        <w:ilvl w:val="2"/>
        <w:numId w:val="5"/>
      </w:numPr>
      <w:tabs>
        <w:tab w:val="clear" w:pos="643"/>
      </w:tabs>
      <w:spacing w:before="220" w:after="220"/>
      <w:ind w:left="720" w:hanging="720"/>
      <w:outlineLvl w:val="2"/>
    </w:pPr>
    <w:rPr>
      <w:b/>
      <w:bCs/>
      <w:color w:val="283164"/>
    </w:rPr>
  </w:style>
  <w:style w:type="paragraph" w:styleId="Nadpis4">
    <w:name w:val="heading 4"/>
    <w:basedOn w:val="Normln"/>
    <w:next w:val="Normln"/>
    <w:link w:val="Nadpis4Char"/>
    <w:uiPriority w:val="99"/>
    <w:qFormat/>
    <w:rsid w:val="00CC1902"/>
    <w:pPr>
      <w:keepNext/>
      <w:spacing w:before="240" w:after="60"/>
      <w:outlineLvl w:val="3"/>
    </w:pPr>
    <w:rPr>
      <w:b/>
      <w:bCs/>
      <w:color w:val="28316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F3057A"/>
    <w:rPr>
      <w:rFonts w:ascii="Arial" w:hAnsi="Arial" w:cs="Arial"/>
      <w:b/>
      <w:bCs/>
      <w:noProof/>
      <w:color w:val="283164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F3057A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F3057A"/>
    <w:rPr>
      <w:rFonts w:ascii="Cambria" w:eastAsia="Times New Roman" w:hAnsi="Cambria" w:cs="Times New Roman"/>
      <w:b/>
      <w:bCs/>
      <w:color w:val="000000"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locked/>
    <w:rsid w:val="00CC1902"/>
    <w:rPr>
      <w:rFonts w:ascii="Arial" w:hAnsi="Arial" w:cs="Arial"/>
      <w:b/>
      <w:bCs/>
      <w:color w:val="283164"/>
      <w:sz w:val="28"/>
      <w:szCs w:val="28"/>
      <w:lang w:eastAsia="en-US"/>
    </w:rPr>
  </w:style>
  <w:style w:type="paragraph" w:styleId="slovanseznam">
    <w:name w:val="List Number"/>
    <w:basedOn w:val="Normln"/>
    <w:uiPriority w:val="99"/>
    <w:rsid w:val="008524B9"/>
    <w:pPr>
      <w:numPr>
        <w:numId w:val="8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8524B9"/>
    <w:pPr>
      <w:spacing w:before="120"/>
      <w:jc w:val="center"/>
    </w:pPr>
    <w:rPr>
      <w:b/>
      <w:bCs/>
      <w:color w:val="283164"/>
      <w:sz w:val="32"/>
      <w:szCs w:val="32"/>
    </w:rPr>
  </w:style>
  <w:style w:type="character" w:customStyle="1" w:styleId="NzevChar">
    <w:name w:val="Název Char"/>
    <w:link w:val="Nzev"/>
    <w:uiPriority w:val="10"/>
    <w:rsid w:val="00F3057A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en-US"/>
    </w:rPr>
  </w:style>
  <w:style w:type="paragraph" w:styleId="slovanseznam2">
    <w:name w:val="List Number 2"/>
    <w:basedOn w:val="Normln"/>
    <w:uiPriority w:val="99"/>
    <w:rsid w:val="008524B9"/>
    <w:pPr>
      <w:numPr>
        <w:ilvl w:val="1"/>
        <w:numId w:val="13"/>
      </w:numPr>
    </w:pPr>
  </w:style>
  <w:style w:type="paragraph" w:styleId="Seznamsodrkami">
    <w:name w:val="List Bullet"/>
    <w:basedOn w:val="Normln"/>
    <w:uiPriority w:val="99"/>
    <w:rsid w:val="008524B9"/>
    <w:pPr>
      <w:numPr>
        <w:numId w:val="9"/>
      </w:numPr>
      <w:tabs>
        <w:tab w:val="num" w:pos="360"/>
      </w:tabs>
      <w:ind w:left="360" w:hanging="360"/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4F501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F5014"/>
    <w:rPr>
      <w:rFonts w:ascii="Arial" w:hAnsi="Arial" w:cs="Arial"/>
      <w:sz w:val="24"/>
      <w:szCs w:val="24"/>
    </w:rPr>
  </w:style>
  <w:style w:type="paragraph" w:customStyle="1" w:styleId="TabulkaNL">
    <w:name w:val="Tabulka_NL"/>
    <w:basedOn w:val="Normln"/>
    <w:uiPriority w:val="99"/>
    <w:rsid w:val="00CC1902"/>
    <w:pPr>
      <w:spacing w:line="220" w:lineRule="atLeast"/>
      <w:jc w:val="left"/>
    </w:pPr>
    <w:rPr>
      <w:b/>
      <w:bCs/>
      <w:color w:val="FFFFFF"/>
      <w:sz w:val="16"/>
      <w:szCs w:val="16"/>
    </w:rPr>
  </w:style>
  <w:style w:type="paragraph" w:customStyle="1" w:styleId="TabulkaTL">
    <w:name w:val="Tabulka_TL"/>
    <w:basedOn w:val="Normln"/>
    <w:uiPriority w:val="99"/>
    <w:rsid w:val="00CC1902"/>
    <w:pPr>
      <w:spacing w:line="220" w:lineRule="atLeast"/>
      <w:jc w:val="left"/>
    </w:pPr>
    <w:rPr>
      <w:sz w:val="16"/>
      <w:szCs w:val="16"/>
    </w:rPr>
  </w:style>
  <w:style w:type="paragraph" w:customStyle="1" w:styleId="TabulkaTR">
    <w:name w:val="Tabulka_TR"/>
    <w:basedOn w:val="TabulkaTL"/>
    <w:uiPriority w:val="99"/>
    <w:rsid w:val="00CC1902"/>
    <w:pPr>
      <w:jc w:val="right"/>
    </w:pPr>
  </w:style>
  <w:style w:type="paragraph" w:customStyle="1" w:styleId="TabulkaNR">
    <w:name w:val="Tabulka_NR"/>
    <w:basedOn w:val="Normln"/>
    <w:uiPriority w:val="99"/>
    <w:rsid w:val="00CC1902"/>
    <w:pPr>
      <w:spacing w:line="220" w:lineRule="atLeast"/>
      <w:jc w:val="right"/>
    </w:pPr>
    <w:rPr>
      <w:b/>
      <w:bCs/>
      <w:color w:val="FFFFFF"/>
      <w:sz w:val="16"/>
      <w:szCs w:val="16"/>
    </w:rPr>
  </w:style>
  <w:style w:type="paragraph" w:customStyle="1" w:styleId="PNadpis1">
    <w:name w:val="P_Nadpis_1"/>
    <w:basedOn w:val="Nadpis1"/>
    <w:uiPriority w:val="99"/>
    <w:rsid w:val="00CC1902"/>
    <w:pPr>
      <w:pageBreakBefore/>
      <w:numPr>
        <w:numId w:val="13"/>
      </w:numPr>
      <w:tabs>
        <w:tab w:val="clear" w:pos="643"/>
        <w:tab w:val="num" w:pos="357"/>
      </w:tabs>
      <w:spacing w:after="0" w:line="500" w:lineRule="atLeast"/>
      <w:ind w:left="360"/>
    </w:pPr>
    <w:rPr>
      <w:noProof w:val="0"/>
      <w:kern w:val="32"/>
      <w:sz w:val="40"/>
      <w:szCs w:val="40"/>
    </w:rPr>
  </w:style>
  <w:style w:type="paragraph" w:customStyle="1" w:styleId="PNadpis2">
    <w:name w:val="P_Nadpis_2"/>
    <w:basedOn w:val="Nadpis2"/>
    <w:uiPriority w:val="99"/>
    <w:rsid w:val="00CC1902"/>
    <w:pPr>
      <w:keepNext/>
      <w:widowControl/>
      <w:numPr>
        <w:ilvl w:val="0"/>
        <w:numId w:val="0"/>
      </w:numPr>
      <w:tabs>
        <w:tab w:val="num" w:pos="510"/>
      </w:tabs>
      <w:spacing w:before="280" w:after="280"/>
      <w:ind w:left="510" w:hanging="510"/>
      <w:jc w:val="left"/>
    </w:pPr>
  </w:style>
  <w:style w:type="paragraph" w:customStyle="1" w:styleId="PNadpis3">
    <w:name w:val="P_Nadpis_3"/>
    <w:basedOn w:val="Nadpis3"/>
    <w:uiPriority w:val="99"/>
    <w:rsid w:val="00CC1902"/>
    <w:pPr>
      <w:numPr>
        <w:numId w:val="13"/>
      </w:numPr>
      <w:tabs>
        <w:tab w:val="clear" w:pos="1363"/>
        <w:tab w:val="num" w:pos="680"/>
      </w:tabs>
      <w:spacing w:before="280" w:after="60"/>
      <w:ind w:left="680" w:hanging="680"/>
    </w:pPr>
  </w:style>
  <w:style w:type="paragraph" w:customStyle="1" w:styleId="TabulkaNM">
    <w:name w:val="Tabulka_NM"/>
    <w:basedOn w:val="TabulkaNL"/>
    <w:uiPriority w:val="99"/>
    <w:rsid w:val="00C97F82"/>
    <w:pPr>
      <w:jc w:val="center"/>
    </w:pPr>
  </w:style>
  <w:style w:type="paragraph" w:styleId="Textbubliny">
    <w:name w:val="Balloon Text"/>
    <w:basedOn w:val="Normln"/>
    <w:link w:val="TextbublinyChar"/>
    <w:uiPriority w:val="99"/>
    <w:semiHidden/>
    <w:rsid w:val="00D73D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057A"/>
    <w:rPr>
      <w:color w:val="000000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70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2396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POJIŠTĚNÍ MAJETKU</vt:lpstr>
    </vt:vector>
  </TitlesOfParts>
  <Company>Microsoft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POJIŠTĚNÍ MAJETKU</dc:title>
  <dc:creator>Dušan Urbánek</dc:creator>
  <cp:lastModifiedBy>Microsoft</cp:lastModifiedBy>
  <cp:revision>2</cp:revision>
  <cp:lastPrinted>2019-11-04T13:06:00Z</cp:lastPrinted>
  <dcterms:created xsi:type="dcterms:W3CDTF">2019-11-05T10:53:00Z</dcterms:created>
  <dcterms:modified xsi:type="dcterms:W3CDTF">2019-11-05T10:53:00Z</dcterms:modified>
</cp:coreProperties>
</file>