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F87B" w14:textId="77777777" w:rsidR="00A71621" w:rsidRPr="001B03B9" w:rsidRDefault="00721D4D">
      <w:pPr>
        <w:rPr>
          <w:rFonts w:ascii="Tahoma" w:hAnsi="Tahoma" w:cs="Tahoma"/>
        </w:rPr>
      </w:pPr>
      <w:bookmarkStart w:id="0" w:name="_GoBack"/>
      <w:bookmarkEnd w:id="0"/>
      <w:r w:rsidRPr="001B03B9">
        <w:rPr>
          <w:rFonts w:ascii="Tahoma" w:hAnsi="Tahoma" w:cs="Tahoma"/>
        </w:rPr>
        <w:t>Příloha č. 1 Obchodní podmínky</w:t>
      </w:r>
    </w:p>
    <w:p w14:paraId="1815549D" w14:textId="77777777" w:rsidR="00721D4D" w:rsidRPr="001B03B9" w:rsidRDefault="00721D4D" w:rsidP="00721D4D">
      <w:pPr>
        <w:pStyle w:val="Zkladntext"/>
        <w:spacing w:before="20" w:after="20"/>
        <w:rPr>
          <w:rFonts w:ascii="Tahoma" w:hAnsi="Tahoma" w:cs="Tahoma"/>
        </w:rPr>
      </w:pPr>
      <w:r w:rsidRPr="001B03B9">
        <w:rPr>
          <w:rFonts w:ascii="Tahoma" w:hAnsi="Tahoma" w:cs="Tahoma"/>
          <w:b/>
          <w:sz w:val="20"/>
          <w:szCs w:val="20"/>
          <w:lang w:val="cs-CZ"/>
        </w:rPr>
        <w:t>Komplexní pojištění majetku a odpovědnosti za škodu města Frenštát pod Radhoštěm</w:t>
      </w:r>
    </w:p>
    <w:p w14:paraId="055BBAEB" w14:textId="77777777" w:rsidR="00721D4D" w:rsidRPr="001B03B9" w:rsidRDefault="00721D4D" w:rsidP="00721D4D">
      <w:pPr>
        <w:rPr>
          <w:rFonts w:ascii="Tahoma" w:hAnsi="Tahoma" w:cs="Tahoma"/>
          <w:lang w:eastAsia="x-none"/>
        </w:rPr>
      </w:pPr>
    </w:p>
    <w:p w14:paraId="2B1E7F79" w14:textId="77777777" w:rsidR="00721D4D" w:rsidRPr="001B03B9" w:rsidRDefault="00721D4D" w:rsidP="00721D4D">
      <w:pPr>
        <w:spacing w:before="120" w:line="240" w:lineRule="auto"/>
        <w:jc w:val="both"/>
        <w:rPr>
          <w:rFonts w:ascii="Tahoma" w:hAnsi="Tahoma" w:cs="Tahoma"/>
          <w:sz w:val="20"/>
        </w:rPr>
      </w:pPr>
      <w:r w:rsidRPr="001B03B9">
        <w:rPr>
          <w:rFonts w:ascii="Tahoma" w:hAnsi="Tahoma" w:cs="Tahoma"/>
          <w:sz w:val="20"/>
        </w:rPr>
        <w:t xml:space="preserve">Zadavatel stanovuje minimální požadavky na obsah obchodních a platebních podmínek, tzn. že dodavatelé do svých nabídek níže uvedená ustanovení zapracují. </w:t>
      </w:r>
    </w:p>
    <w:p w14:paraId="4C0CFDFA" w14:textId="77777777" w:rsidR="009D71A8" w:rsidRPr="001B03B9" w:rsidRDefault="009D71A8" w:rsidP="009D71A8">
      <w:pPr>
        <w:spacing w:before="120" w:line="240" w:lineRule="auto"/>
        <w:jc w:val="both"/>
        <w:rPr>
          <w:rFonts w:ascii="Tahoma" w:hAnsi="Tahoma" w:cs="Tahoma"/>
          <w:sz w:val="20"/>
        </w:rPr>
      </w:pPr>
      <w:r w:rsidRPr="001B03B9">
        <w:rPr>
          <w:rFonts w:ascii="Tahoma" w:hAnsi="Tahoma" w:cs="Tahoma"/>
          <w:sz w:val="20"/>
        </w:rPr>
        <w:t>Účastník je povinen podat návrh smlouvy pokrývající celý předmět veřejné zakázky.</w:t>
      </w:r>
    </w:p>
    <w:p w14:paraId="2978426D" w14:textId="77777777" w:rsidR="009D71A8" w:rsidRPr="001B03B9" w:rsidRDefault="009D71A8" w:rsidP="009D71A8">
      <w:pPr>
        <w:spacing w:before="120" w:line="240" w:lineRule="auto"/>
        <w:jc w:val="both"/>
        <w:rPr>
          <w:rFonts w:ascii="Tahoma" w:hAnsi="Tahoma" w:cs="Tahoma"/>
          <w:sz w:val="20"/>
        </w:rPr>
      </w:pPr>
      <w:r w:rsidRPr="001B03B9">
        <w:rPr>
          <w:rFonts w:ascii="Tahoma" w:hAnsi="Tahoma" w:cs="Tahoma"/>
          <w:sz w:val="20"/>
        </w:rPr>
        <w:t>Návrh smlouvy nesmí vyloučit či žádným způsobem omezovat oprávnění zadavatele, uvedená v této zadávací dokumentaci; v opačném případě nabídka nesplňuje zadávací podmínky a bude vyřazena.</w:t>
      </w:r>
    </w:p>
    <w:p w14:paraId="05992AF0" w14:textId="77777777" w:rsidR="009D71A8" w:rsidRPr="0069152F" w:rsidRDefault="009D71A8" w:rsidP="009D71A8">
      <w:pPr>
        <w:spacing w:before="120" w:line="240" w:lineRule="auto"/>
        <w:jc w:val="both"/>
        <w:rPr>
          <w:rFonts w:ascii="Tahoma" w:hAnsi="Tahoma" w:cs="Tahoma"/>
          <w:sz w:val="20"/>
        </w:rPr>
      </w:pPr>
      <w:r w:rsidRPr="0069152F">
        <w:rPr>
          <w:rFonts w:ascii="Tahoma" w:hAnsi="Tahoma" w:cs="Tahoma"/>
          <w:sz w:val="20"/>
        </w:rPr>
        <w:t>Návrh smlouvy musí obsahovat:</w:t>
      </w:r>
    </w:p>
    <w:p w14:paraId="6010FCC5" w14:textId="12BEC797" w:rsidR="009D71A8" w:rsidRPr="0069152F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69152F">
        <w:rPr>
          <w:rFonts w:ascii="Tahoma" w:hAnsi="Tahoma" w:cs="Tahoma"/>
          <w:sz w:val="20"/>
        </w:rPr>
        <w:t>Návrh smlouvy musí respektovat ustanovení zákona č. 37/2004 Sb., o pojistné smlouvě a o změně souvisejících zákonů (zákon o pojistné smlouvě), ve znění pozdějších předpisů, a dalších právních předpisů, které se vztahují na plnění veřejné zakázky</w:t>
      </w:r>
      <w:r w:rsidR="0076605E" w:rsidRPr="0069152F">
        <w:rPr>
          <w:rFonts w:ascii="Tahoma" w:hAnsi="Tahoma" w:cs="Tahoma"/>
          <w:sz w:val="20"/>
        </w:rPr>
        <w:t>.</w:t>
      </w:r>
    </w:p>
    <w:p w14:paraId="06BE0BA1" w14:textId="77777777" w:rsidR="009D71A8" w:rsidRPr="0069152F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69152F">
        <w:rPr>
          <w:rFonts w:ascii="Tahoma" w:hAnsi="Tahoma" w:cs="Tahoma"/>
          <w:sz w:val="20"/>
        </w:rPr>
        <w:t>Pojistným obdobím je jeden rok.</w:t>
      </w:r>
    </w:p>
    <w:p w14:paraId="43D0CED8" w14:textId="0DDDAB86" w:rsidR="009D71A8" w:rsidRPr="0069152F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69152F">
        <w:rPr>
          <w:rFonts w:ascii="Tahoma" w:hAnsi="Tahoma" w:cs="Tahoma"/>
          <w:sz w:val="20"/>
        </w:rPr>
        <w:t xml:space="preserve">Pokud jsou smluvní ujednání uvedená ve smlouvě v rozporu s přiloženými </w:t>
      </w:r>
      <w:r w:rsidRPr="00C20B91">
        <w:rPr>
          <w:rFonts w:ascii="Tahoma" w:hAnsi="Tahoma" w:cs="Tahoma"/>
          <w:sz w:val="20"/>
        </w:rPr>
        <w:t>V</w:t>
      </w:r>
      <w:r w:rsidR="0069152F" w:rsidRPr="00C20B91">
        <w:rPr>
          <w:rFonts w:ascii="Tahoma" w:hAnsi="Tahoma" w:cs="Tahoma"/>
          <w:sz w:val="20"/>
        </w:rPr>
        <w:t>šeobecn</w:t>
      </w:r>
      <w:r w:rsidR="0069152F">
        <w:rPr>
          <w:rFonts w:ascii="Tahoma" w:hAnsi="Tahoma" w:cs="Tahoma"/>
          <w:sz w:val="20"/>
        </w:rPr>
        <w:t>ými</w:t>
      </w:r>
      <w:r w:rsidR="0069152F" w:rsidRPr="00C20B91">
        <w:rPr>
          <w:rFonts w:ascii="Tahoma" w:hAnsi="Tahoma" w:cs="Tahoma"/>
          <w:sz w:val="20"/>
        </w:rPr>
        <w:t xml:space="preserve"> pojistn</w:t>
      </w:r>
      <w:r w:rsidR="0069152F">
        <w:rPr>
          <w:rFonts w:ascii="Tahoma" w:hAnsi="Tahoma" w:cs="Tahoma"/>
          <w:sz w:val="20"/>
        </w:rPr>
        <w:t>ými</w:t>
      </w:r>
      <w:r w:rsidR="0069152F" w:rsidRPr="00C20B91">
        <w:rPr>
          <w:rFonts w:ascii="Tahoma" w:hAnsi="Tahoma" w:cs="Tahoma"/>
          <w:sz w:val="20"/>
        </w:rPr>
        <w:t xml:space="preserve"> podmínk</w:t>
      </w:r>
      <w:r w:rsidR="0069152F">
        <w:rPr>
          <w:rFonts w:ascii="Tahoma" w:hAnsi="Tahoma" w:cs="Tahoma"/>
          <w:sz w:val="20"/>
        </w:rPr>
        <w:t>ami (dále jen „VPP“)</w:t>
      </w:r>
      <w:r w:rsidRPr="00C20B91">
        <w:rPr>
          <w:rFonts w:ascii="Tahoma" w:hAnsi="Tahoma" w:cs="Tahoma"/>
          <w:sz w:val="20"/>
        </w:rPr>
        <w:t xml:space="preserve">, </w:t>
      </w:r>
      <w:r w:rsidR="0069152F" w:rsidRPr="00C20B91">
        <w:rPr>
          <w:rFonts w:ascii="Tahoma" w:hAnsi="Tahoma" w:cs="Tahoma"/>
          <w:sz w:val="20"/>
        </w:rPr>
        <w:t>Zvláštn</w:t>
      </w:r>
      <w:r w:rsidR="0069152F">
        <w:rPr>
          <w:rFonts w:ascii="Tahoma" w:hAnsi="Tahoma" w:cs="Tahoma"/>
          <w:sz w:val="20"/>
        </w:rPr>
        <w:t>ími pojistnými</w:t>
      </w:r>
      <w:r w:rsidR="0069152F" w:rsidRPr="00C20B91">
        <w:rPr>
          <w:rFonts w:ascii="Tahoma" w:hAnsi="Tahoma" w:cs="Tahoma"/>
          <w:sz w:val="20"/>
        </w:rPr>
        <w:t xml:space="preserve"> podmínk</w:t>
      </w:r>
      <w:r w:rsidR="0069152F">
        <w:rPr>
          <w:rFonts w:ascii="Tahoma" w:hAnsi="Tahoma" w:cs="Tahoma"/>
          <w:sz w:val="20"/>
        </w:rPr>
        <w:t>ami (dále jen „ZPP“)</w:t>
      </w:r>
      <w:r w:rsidRPr="0069152F">
        <w:rPr>
          <w:rFonts w:ascii="Tahoma" w:hAnsi="Tahoma" w:cs="Tahoma"/>
          <w:sz w:val="20"/>
        </w:rPr>
        <w:t xml:space="preserve"> nebo doložkami, pak mají tato smluvní ujednání přednost před ustanoveními přiložených VPP, ZPP nebo doložek.</w:t>
      </w:r>
    </w:p>
    <w:p w14:paraId="3C9C0684" w14:textId="77777777" w:rsidR="009D71A8" w:rsidRPr="0069152F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69152F">
        <w:rPr>
          <w:rFonts w:ascii="Tahoma" w:hAnsi="Tahoma" w:cs="Tahoma"/>
          <w:sz w:val="20"/>
        </w:rPr>
        <w:t>V případě pojištění majetku bude poskytováno pojistné plnění ve výši nově pořizovaného majetku (tzv. nová cena) v případě, kdy opotřebení majetku, na nějž se pojistné plnění vztahuje, nebude vyšší než 70%.</w:t>
      </w:r>
    </w:p>
    <w:p w14:paraId="48B2CBD2" w14:textId="0C09F8C4" w:rsidR="009D71A8" w:rsidRPr="00C20B91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C20B91">
        <w:rPr>
          <w:rFonts w:ascii="Tahoma" w:hAnsi="Tahoma" w:cs="Tahoma"/>
          <w:sz w:val="20"/>
        </w:rPr>
        <w:t xml:space="preserve">Garance sazby pojistného uvedené ve své nabídce po celou dobu plnění veřejné zakázky, tj. po dobu </w:t>
      </w:r>
      <w:r w:rsidR="0069152F" w:rsidRPr="00C20B91">
        <w:rPr>
          <w:rFonts w:ascii="Tahoma" w:hAnsi="Tahoma" w:cs="Tahoma"/>
          <w:sz w:val="20"/>
        </w:rPr>
        <w:t>1 roku</w:t>
      </w:r>
      <w:r w:rsidRPr="00C20B91">
        <w:rPr>
          <w:rFonts w:ascii="Tahoma" w:hAnsi="Tahoma" w:cs="Tahoma"/>
          <w:sz w:val="20"/>
        </w:rPr>
        <w:t>, a to i v případech nově pořízeného majetku zadavatelem.</w:t>
      </w:r>
    </w:p>
    <w:p w14:paraId="0E421747" w14:textId="77777777" w:rsidR="009D71A8" w:rsidRPr="0069152F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69152F">
        <w:rPr>
          <w:rFonts w:ascii="Tahoma" w:hAnsi="Tahoma" w:cs="Tahoma"/>
          <w:sz w:val="20"/>
        </w:rPr>
        <w:t>Pojištěné cizí věci, které pojištěný užívá na základě leasingových, nájemních či jiných smluv, jsou v případě převodu do vlastnictví pojištěného automaticky pojištěny v rozsahu sjednané pojistné smlouvy.</w:t>
      </w:r>
    </w:p>
    <w:p w14:paraId="1883A60F" w14:textId="77777777" w:rsidR="009D71A8" w:rsidRPr="0069152F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69152F">
        <w:rPr>
          <w:rFonts w:ascii="Tahoma" w:hAnsi="Tahoma" w:cs="Tahoma"/>
          <w:sz w:val="20"/>
        </w:rPr>
        <w:t>V případě plnění dle odst. 1.1 a 1.3 Přílohy 2a ZD se pojištění sjednané v pojistné smlouvě se bude vztahovat i na nově nabytý majetek zadavatele, a to za stejných podmínek a stejné sazby. Pro odst. 1.1 Přílohy 2a ZD platí ujednání o možném zvýšení pojistné částky do výše 15% proti předcházejícímu pojistnému období i bez informační povinnosti zadavatele.</w:t>
      </w:r>
    </w:p>
    <w:p w14:paraId="0D8647D2" w14:textId="7F7F4BD7" w:rsidR="009D71A8" w:rsidRPr="0069152F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69152F">
        <w:rPr>
          <w:rFonts w:ascii="Tahoma" w:hAnsi="Tahoma" w:cs="Tahoma"/>
          <w:sz w:val="20"/>
        </w:rPr>
        <w:t xml:space="preserve">V případě cizího movitého majetku užívaného zadavatelem se sjednává, že v případě pojistné události na tomto movitém majetku poskytne </w:t>
      </w:r>
      <w:r w:rsidR="0076605E" w:rsidRPr="0069152F">
        <w:rPr>
          <w:rFonts w:ascii="Tahoma" w:hAnsi="Tahoma" w:cs="Tahoma"/>
          <w:sz w:val="20"/>
        </w:rPr>
        <w:t>ú</w:t>
      </w:r>
      <w:r w:rsidRPr="0069152F">
        <w:rPr>
          <w:rFonts w:ascii="Tahoma" w:hAnsi="Tahoma" w:cs="Tahoma"/>
          <w:sz w:val="20"/>
        </w:rPr>
        <w:t>častník zadavateli novou cenu za tento movitý majetek.</w:t>
      </w:r>
    </w:p>
    <w:p w14:paraId="737E09DE" w14:textId="77777777" w:rsidR="009D71A8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9D71A8">
        <w:rPr>
          <w:rFonts w:ascii="Tahoma" w:hAnsi="Tahoma" w:cs="Tahoma"/>
          <w:sz w:val="20"/>
        </w:rPr>
        <w:t>Ke dni sjednání pojištění odpovídají pojistné částky veškerého pojištěného majetku sjednané pojistné hodnotě. Zadavatel je povinen oznámit účastníkovi navýšení pojistných částek, pokud dojde ke zvýšení hodnoty pojištěného majetku v průběhu pojistného období (1 rok) o více než 15 % oproti původně sjednané pojistné hodnotě. Strany se zaváží po uplynutí každého pojistného období vyhotovit aktualizaci</w:t>
      </w:r>
      <w:r>
        <w:rPr>
          <w:rFonts w:ascii="Tahoma" w:hAnsi="Tahoma" w:cs="Tahoma"/>
          <w:sz w:val="20"/>
        </w:rPr>
        <w:t xml:space="preserve"> </w:t>
      </w:r>
      <w:r w:rsidRPr="009D71A8">
        <w:rPr>
          <w:rFonts w:ascii="Tahoma" w:hAnsi="Tahoma" w:cs="Tahoma"/>
          <w:sz w:val="20"/>
        </w:rPr>
        <w:t>pojistných částek pro další pojistné období.</w:t>
      </w:r>
    </w:p>
    <w:p w14:paraId="454D8DE6" w14:textId="77777777" w:rsidR="009D71A8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9D71A8">
        <w:rPr>
          <w:rFonts w:ascii="Tahoma" w:hAnsi="Tahoma" w:cs="Tahoma"/>
          <w:sz w:val="20"/>
        </w:rPr>
        <w:t>V případě pojistné události na pojištěných souborech majetku zadavatele odečte účastník vždy pouze jednu spoluúčast, a to nejvyšší sjednanou, pokud není pro zadavatele výhodnější odečtení spoluúčasti z jednotlivých předmětných pojištění, jichž se pojistná událost týká. V případě, že je pro zadavatele výhodnější odečtení spoluúčasti z jednotlivých předmětných pojištění, provede Účastník</w:t>
      </w:r>
      <w:r>
        <w:rPr>
          <w:rFonts w:ascii="Tahoma" w:hAnsi="Tahoma" w:cs="Tahoma"/>
          <w:sz w:val="20"/>
        </w:rPr>
        <w:t xml:space="preserve"> </w:t>
      </w:r>
      <w:r w:rsidRPr="009D71A8">
        <w:rPr>
          <w:rFonts w:ascii="Tahoma" w:hAnsi="Tahoma" w:cs="Tahoma"/>
          <w:sz w:val="20"/>
        </w:rPr>
        <w:t>odečtení spoluúčasti z těchto jednotlivých předmětných pojištění.</w:t>
      </w:r>
    </w:p>
    <w:p w14:paraId="4B497AF5" w14:textId="77777777" w:rsidR="009D71A8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9D71A8">
        <w:rPr>
          <w:rFonts w:ascii="Tahoma" w:hAnsi="Tahoma" w:cs="Tahoma"/>
          <w:sz w:val="20"/>
        </w:rPr>
        <w:t>Závazek účastníka, že nebude oprávněn uplatnit argument podpojištění majetku zadavatele dle této zadávací dokumentace, dojde-li v průběhu pojistného období k navýšení pojistných hodnot v důsledku inflace menší než 10%.</w:t>
      </w:r>
    </w:p>
    <w:p w14:paraId="5CFEF101" w14:textId="77777777" w:rsidR="009D71A8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9D71A8">
        <w:rPr>
          <w:rFonts w:ascii="Tahoma" w:hAnsi="Tahoma" w:cs="Tahoma"/>
          <w:sz w:val="20"/>
        </w:rPr>
        <w:t>Pojištění majetku zadavatele se sjednává na novou cenu s výjimkou položek, u kterých je uvedena cena jiná.</w:t>
      </w:r>
    </w:p>
    <w:p w14:paraId="3B7091B3" w14:textId="77777777" w:rsidR="003C505C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3C505C">
        <w:rPr>
          <w:rFonts w:ascii="Tahoma" w:hAnsi="Tahoma" w:cs="Tahoma"/>
          <w:sz w:val="20"/>
        </w:rPr>
        <w:t>Pojistné plnění poskytované účastníkem nemůže být omezeno jakýmikoliv jinými spoluúčastmi než těmi, které jsou výslovně uvedeny v této zadávací dokumentaci. Výše omezení pojistného plnění těmito spoluúčastmi je nejvyšší přípustná.</w:t>
      </w:r>
    </w:p>
    <w:p w14:paraId="68924DCD" w14:textId="3F10D212" w:rsidR="003C505C" w:rsidRPr="00C20B91" w:rsidRDefault="003C505C" w:rsidP="001D1563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3C505C">
        <w:rPr>
          <w:rFonts w:ascii="Tahoma" w:hAnsi="Tahoma" w:cs="Tahoma"/>
          <w:sz w:val="20"/>
        </w:rPr>
        <w:t>N</w:t>
      </w:r>
      <w:r w:rsidR="009D71A8" w:rsidRPr="003C505C">
        <w:rPr>
          <w:rFonts w:ascii="Tahoma" w:hAnsi="Tahoma" w:cs="Tahoma"/>
          <w:sz w:val="20"/>
        </w:rPr>
        <w:t>ově pořízená motorová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vozidla a přípojná vozidla budou pojištěna při shodné sazbě od okamžiku nabytí vlastnictví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 xml:space="preserve">vozidla pojištěným (tzn. od skutečného převzetí vozidla od </w:t>
      </w:r>
      <w:r w:rsidR="009D71A8" w:rsidRPr="003C505C">
        <w:rPr>
          <w:rFonts w:ascii="Tahoma" w:hAnsi="Tahoma" w:cs="Tahoma"/>
          <w:sz w:val="20"/>
        </w:rPr>
        <w:lastRenderedPageBreak/>
        <w:t>prodejce, leasingové společnosti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apod.). Pro účely ujednání této pojistné smlouvy, které umožňuje automatické zařazení vozidla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do pojištění havarijního a dalších připojištění (pokud je toto v pojistné smlouvě sjednáno),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vlastnictví může vzniknout koupí nového vozidla nebo přechodem vlastnického práva k</w:t>
      </w:r>
      <w:r w:rsidRPr="003C505C">
        <w:rPr>
          <w:rFonts w:ascii="Tahoma" w:hAnsi="Tahoma" w:cs="Tahoma"/>
          <w:sz w:val="20"/>
        </w:rPr>
        <w:t> </w:t>
      </w:r>
      <w:r w:rsidR="009D71A8" w:rsidRPr="003C505C">
        <w:rPr>
          <w:rFonts w:ascii="Tahoma" w:hAnsi="Tahoma" w:cs="Tahoma"/>
          <w:sz w:val="20"/>
        </w:rPr>
        <w:t>vozidlu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na pojištěného z leasingové smlouvy uzavřené pojištěným. Toto ujednání se vztahuje také na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vozidla nová, která pojištěný bude užívat na základě leasingových či obdobných smluv a která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má pojištěný podle uzavřené leasingové či obdobné smlouvy povinnost pojistit. Pokud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pojištěný toto vozidlo požaduje pojistit, je povinen toto oznámit pojistiteli nejpozději do 15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kalendářních dnů od převzetí vozidla nebo přidělení nové registrační značky (případně původní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registrační značky), předat kopii technického průkazu a nabývací doklad (fakturu). Pokud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pojištěný do termínu 15 dnů od převzetí (nabytí vlastnictví) motorového nebo přípojného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vozidla pojistiteli toto vozidlo řádně nenahlásí, není pojištěno</w:t>
      </w:r>
      <w:r w:rsidR="0069152F">
        <w:rPr>
          <w:rFonts w:ascii="Tahoma" w:hAnsi="Tahoma" w:cs="Tahoma"/>
          <w:sz w:val="20"/>
        </w:rPr>
        <w:t>.</w:t>
      </w:r>
    </w:p>
    <w:p w14:paraId="4FBFA024" w14:textId="0700C6C4" w:rsidR="003C505C" w:rsidRDefault="003C505C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3C505C">
        <w:rPr>
          <w:rFonts w:ascii="Tahoma" w:hAnsi="Tahoma" w:cs="Tahoma"/>
          <w:sz w:val="20"/>
        </w:rPr>
        <w:t>P</w:t>
      </w:r>
      <w:r w:rsidR="009D71A8" w:rsidRPr="003C505C">
        <w:rPr>
          <w:rFonts w:ascii="Tahoma" w:hAnsi="Tahoma" w:cs="Tahoma"/>
          <w:sz w:val="20"/>
        </w:rPr>
        <w:t>lnění z pojištění rizika záplavy a povodně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není omezeno skutečností, že záplava a povodeň měla charakter záplavy a povodně opakující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se alespoň či nejvýše s určitou časovou periodu/frekvencí (např. 20letá voda apod.). Definice</w:t>
      </w:r>
      <w:r w:rsidRPr="003C505C">
        <w:rPr>
          <w:rFonts w:ascii="Tahoma" w:hAnsi="Tahoma" w:cs="Tahoma"/>
          <w:sz w:val="20"/>
        </w:rPr>
        <w:t xml:space="preserve"> </w:t>
      </w:r>
      <w:r w:rsidR="009D71A8" w:rsidRPr="003C505C">
        <w:rPr>
          <w:rFonts w:ascii="Tahoma" w:hAnsi="Tahoma" w:cs="Tahoma"/>
          <w:sz w:val="20"/>
        </w:rPr>
        <w:t>rizika záplavy a povodně není na časové periodě/frekvenci závislé.</w:t>
      </w:r>
    </w:p>
    <w:p w14:paraId="056F69C9" w14:textId="77777777" w:rsidR="00866407" w:rsidRDefault="003C505C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Š</w:t>
      </w:r>
      <w:r w:rsidR="009D71A8" w:rsidRPr="00866407">
        <w:rPr>
          <w:rFonts w:ascii="Tahoma" w:hAnsi="Tahoma" w:cs="Tahoma"/>
          <w:sz w:val="20"/>
        </w:rPr>
        <w:t>kody způsobené riziky „záplava, povodeň“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a nastalé z jedné příčiny během 72 hodin se hodnotí jako jedna pojistná událost a z</w:t>
      </w:r>
      <w:r w:rsidRPr="00866407">
        <w:rPr>
          <w:rFonts w:ascii="Tahoma" w:hAnsi="Tahoma" w:cs="Tahoma"/>
          <w:sz w:val="20"/>
        </w:rPr>
        <w:t> </w:t>
      </w:r>
      <w:r w:rsidR="009D71A8" w:rsidRPr="00866407">
        <w:rPr>
          <w:rFonts w:ascii="Tahoma" w:hAnsi="Tahoma" w:cs="Tahoma"/>
          <w:sz w:val="20"/>
        </w:rPr>
        <w:t>tohoto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titulu se odečítá pouze jedna spoluúčast, pro riziko „vichřice a krupobití“ platí časová lhůta 48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hodin. Toto se vztahuje také na případy, kdy pojistná událost nastane z téže příčiny na více</w:t>
      </w:r>
      <w:r w:rsidR="00F03B48"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místech pojištění.</w:t>
      </w:r>
    </w:p>
    <w:p w14:paraId="1E39FC4B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P</w:t>
      </w:r>
      <w:r w:rsidR="009D71A8" w:rsidRPr="00866407">
        <w:rPr>
          <w:rFonts w:ascii="Tahoma" w:hAnsi="Tahoma" w:cs="Tahoma"/>
          <w:sz w:val="20"/>
        </w:rPr>
        <w:t>ojištění „záplava, povodeň“ resp.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„vodovodních škod“ se vztahuje i na škody způsobené zpětným vystoupením vody z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kanalizačního potrubí.</w:t>
      </w:r>
    </w:p>
    <w:p w14:paraId="31908C88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P</w:t>
      </w:r>
      <w:r w:rsidR="009D71A8" w:rsidRPr="00866407">
        <w:rPr>
          <w:rFonts w:ascii="Tahoma" w:hAnsi="Tahoma" w:cs="Tahoma"/>
          <w:sz w:val="20"/>
        </w:rPr>
        <w:t>ojištění pro případ poškození nebo zničení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pojištěné věci nárazem dopravního prostředku nebo jeho nákladu, pádem stromů, stožárů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nebo jiných předmětů se vztahuje i na součásti poškozené věci nebo součásti téhož souboru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jako poškozená věc.</w:t>
      </w:r>
    </w:p>
    <w:p w14:paraId="116C1B98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P</w:t>
      </w:r>
      <w:r w:rsidR="009D71A8" w:rsidRPr="00866407">
        <w:rPr>
          <w:rFonts w:ascii="Tahoma" w:hAnsi="Tahoma" w:cs="Tahoma"/>
          <w:sz w:val="20"/>
        </w:rPr>
        <w:t>ojištění vodovodních škod se vztahuje i na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škody způsobené vodou vytékající z klimatizačních zařízení, sprinklerových a samočinných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hasicích zařízení v důsledku poruchy tohoto zařízení.</w:t>
      </w:r>
    </w:p>
    <w:p w14:paraId="7B6B560E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V</w:t>
      </w:r>
      <w:r w:rsidR="009D71A8" w:rsidRPr="00866407">
        <w:rPr>
          <w:rFonts w:ascii="Tahoma" w:hAnsi="Tahoma" w:cs="Tahoma"/>
          <w:sz w:val="20"/>
        </w:rPr>
        <w:t xml:space="preserve"> případě vzniku pojistné události z</w:t>
      </w:r>
      <w:r w:rsidRPr="00866407">
        <w:rPr>
          <w:rFonts w:ascii="Tahoma" w:hAnsi="Tahoma" w:cs="Tahoma"/>
          <w:sz w:val="20"/>
        </w:rPr>
        <w:t> </w:t>
      </w:r>
      <w:r w:rsidR="009D71A8" w:rsidRPr="00866407">
        <w:rPr>
          <w:rFonts w:ascii="Tahoma" w:hAnsi="Tahoma" w:cs="Tahoma"/>
          <w:sz w:val="20"/>
        </w:rPr>
        <w:t>příčiny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pojistného nebezpečí „vodovodní škoda“ a za podmínky poškození a/nebo zničení potrubí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vodovodních zařízení, se ujednává, že pojistitel poskytne pojistné plnění i za vícenáklady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s pojistnou událostí spojené. Za tyto vícenáklady se považuje vodné a stočné. Pojištěný je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v takovémto případě povinen prokázat způsobenou škodu potvrzením od společnosti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provozující potrubí vodovodních zařízení a dodávky vody. Pro toto pojištění se sjednává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maximální roční limit ve výši: 500.000 Kč.</w:t>
      </w:r>
    </w:p>
    <w:p w14:paraId="5FD14DFF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Ú</w:t>
      </w:r>
      <w:r w:rsidR="009D71A8" w:rsidRPr="00866407">
        <w:rPr>
          <w:rFonts w:ascii="Tahoma" w:hAnsi="Tahoma" w:cs="Tahoma"/>
          <w:sz w:val="20"/>
        </w:rPr>
        <w:t>derem blesku se rozumí také škoda vzniklá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úderem blesku bez viditelných destrukčních účinků na věci nebo na budově. Zkrat nebo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přepětí v elektrorozvodné nebo komunikační síti, k němuž došlo v důsledku působení blesku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na tato vedení je tímto také pojištěn.</w:t>
      </w:r>
    </w:p>
    <w:p w14:paraId="7BAA13AA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U</w:t>
      </w:r>
      <w:r w:rsidR="009D71A8" w:rsidRPr="00866407">
        <w:rPr>
          <w:rFonts w:ascii="Tahoma" w:hAnsi="Tahoma" w:cs="Tahoma"/>
          <w:sz w:val="20"/>
        </w:rPr>
        <w:t>jednání pro jízdní kola: Místem pojištění je místo určené nebo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obvyklé k odkládání pojištění věci. Budou-li pojištěné věci uloženy i mimo uzavřený prostor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mimo oplocené prostranství v době pojistné události, poskytne pojistitel plnění, budou-li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prokazatelně uzamčeny lankovým nebo řetízkovým zámkem na zamykání jízdních kol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k příslušenství budovy nebo ke stavebním součástem budovy, ke stojanům či jinak odolným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konstrukcím takovým způsobem, aby ho nebylo možné odcizit, aniž pachatel překonal zámek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nebo závažným způsobem rozrušil pevný konstrukční díl samotného předmětu.</w:t>
      </w:r>
    </w:p>
    <w:p w14:paraId="46C14D67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O</w:t>
      </w:r>
      <w:r w:rsidR="009D71A8" w:rsidRPr="00866407">
        <w:rPr>
          <w:rFonts w:ascii="Tahoma" w:hAnsi="Tahoma" w:cs="Tahoma"/>
          <w:sz w:val="20"/>
        </w:rPr>
        <w:t>dchylně od příslušných pojistných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podmínek se ujednává, že parkovací automat na mince se považuje za uzavřený prostor.</w:t>
      </w:r>
      <w:r>
        <w:rPr>
          <w:rFonts w:ascii="Tahoma" w:hAnsi="Tahoma" w:cs="Tahoma"/>
          <w:sz w:val="20"/>
        </w:rPr>
        <w:t xml:space="preserve"> </w:t>
      </w:r>
    </w:p>
    <w:p w14:paraId="00C350F2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U</w:t>
      </w:r>
      <w:r w:rsidR="009D71A8" w:rsidRPr="00866407">
        <w:rPr>
          <w:rFonts w:ascii="Tahoma" w:hAnsi="Tahoma" w:cs="Tahoma"/>
          <w:sz w:val="20"/>
        </w:rPr>
        <w:t>jednání pro veškerý movitý majetek včetně zásob o tom, že v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případě krádeže, loupeže pojistitel poskytne pojistné plnění v případě, že pachatel překonal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překážky nebo opatření chránící předmět pojištění před odcizením. Za minimální zabezpečení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se považuje uzamčený prostor s jedním zámkem na vstupech, oplocený prostor se stálou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strážní službou (fyzickou ostrahou) s pravidelným pochůzkovým režimem. Pojistitel zároveň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akceptuje typy pojištěnými užívaných trezorů z hlediska míry zabezpečení peněžní hotovosti 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jiných cenností jako dostačující míru zabezpečení.</w:t>
      </w:r>
    </w:p>
    <w:p w14:paraId="6005164D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P</w:t>
      </w:r>
      <w:r w:rsidR="009D71A8" w:rsidRPr="00866407">
        <w:rPr>
          <w:rFonts w:ascii="Tahoma" w:hAnsi="Tahoma" w:cs="Tahoma"/>
          <w:sz w:val="20"/>
        </w:rPr>
        <w:t>ojistitel poskytne pojistné plnění i na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součástech a příslušenství nemovitosti, reklamních panelech a jiných součástech 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příslušenství nemovitosti na plášti objektů, pokud budou tyto věci pevně spojeny se stavbou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(nemovitostí) nebo připevněním své konstrukce k jiné stavbě, nebo ke konstrukci zapuštěné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do zpevněné plochy nebo jsou na betonových patkách zapuštěných do země, případně je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použit jiný vhodný způsob uchycení ztěžující pro svoji velkou hmotnost, rozměrnost nebo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nedostupnost předmětu jeho odcizení.</w:t>
      </w:r>
    </w:p>
    <w:p w14:paraId="3E355F44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lastRenderedPageBreak/>
        <w:t>Z</w:t>
      </w:r>
      <w:r w:rsidR="009D71A8" w:rsidRPr="00866407">
        <w:rPr>
          <w:rFonts w:ascii="Tahoma" w:hAnsi="Tahoma" w:cs="Tahoma"/>
          <w:sz w:val="20"/>
        </w:rPr>
        <w:t>působem zabezpečení se také rozumí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překonání konstrukčního upevnění.</w:t>
      </w:r>
    </w:p>
    <w:p w14:paraId="20948A19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O</w:t>
      </w:r>
      <w:r w:rsidR="009D71A8" w:rsidRPr="00866407">
        <w:rPr>
          <w:rFonts w:ascii="Tahoma" w:hAnsi="Tahoma" w:cs="Tahoma"/>
          <w:sz w:val="20"/>
        </w:rPr>
        <w:t>dchylně od příslušných pojistných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podmínek se pojištění vztahuje na odcizení předmětu pojištění krádeží i bez překonání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mechanického zabezpečení (definovaného touto pojistnou smlouvou), je-li předmět pojištění v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době vzniku pojistné události monitorován kamerovým systémem nebo je střežen elektrickým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zabezpečovacím systémem (např. otřesové čidlo), jehož svod poplachového signálu je vyveden</w:t>
      </w:r>
      <w:r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 xml:space="preserve">do místa se </w:t>
      </w:r>
      <w:r>
        <w:rPr>
          <w:rFonts w:ascii="Tahoma" w:hAnsi="Tahoma" w:cs="Tahoma"/>
          <w:sz w:val="20"/>
        </w:rPr>
        <w:t xml:space="preserve">stálou obsluhou (např. recepce). </w:t>
      </w:r>
    </w:p>
    <w:p w14:paraId="7D82A51D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U</w:t>
      </w:r>
      <w:r w:rsidR="009D71A8" w:rsidRPr="00866407">
        <w:rPr>
          <w:rFonts w:ascii="Tahoma" w:hAnsi="Tahoma" w:cs="Tahoma"/>
          <w:sz w:val="20"/>
        </w:rPr>
        <w:t>jednání o uložení věcí na volném prostranství</w:t>
      </w:r>
      <w:r>
        <w:rPr>
          <w:rFonts w:ascii="Tahoma" w:hAnsi="Tahoma" w:cs="Tahoma"/>
          <w:sz w:val="20"/>
        </w:rPr>
        <w:t xml:space="preserve"> - </w:t>
      </w:r>
      <w:r w:rsidR="009D71A8" w:rsidRPr="00866407">
        <w:rPr>
          <w:rFonts w:ascii="Tahoma" w:hAnsi="Tahoma" w:cs="Tahoma"/>
          <w:sz w:val="20"/>
        </w:rPr>
        <w:t>způsobem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zabezpečení se také rozumí překážka vytvořená vlastnostmi věci – velká hmotnost, nadměrné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rozměry, nutná demontáž, apod.</w:t>
      </w:r>
    </w:p>
    <w:p w14:paraId="1805470B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V</w:t>
      </w:r>
      <w:r w:rsidR="009D71A8" w:rsidRPr="00866407">
        <w:rPr>
          <w:rFonts w:ascii="Tahoma" w:hAnsi="Tahoma" w:cs="Tahoma"/>
          <w:sz w:val="20"/>
        </w:rPr>
        <w:t xml:space="preserve"> případě pojistných událostí uplatňovaných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na kamerovém systému poskytne pojistitel plnění, budou-li pojištěné věci umístěny mimo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uzavřený prostor, mimo oplocené prostranství a při jejich odcizení dojde k</w:t>
      </w:r>
      <w:r w:rsidRPr="00866407">
        <w:rPr>
          <w:rFonts w:ascii="Tahoma" w:hAnsi="Tahoma" w:cs="Tahoma"/>
          <w:sz w:val="20"/>
        </w:rPr>
        <w:t> </w:t>
      </w:r>
      <w:r w:rsidR="009D71A8" w:rsidRPr="00866407">
        <w:rPr>
          <w:rFonts w:ascii="Tahoma" w:hAnsi="Tahoma" w:cs="Tahoma"/>
          <w:sz w:val="20"/>
        </w:rPr>
        <w:t>překonání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konstrukčního upevnění.</w:t>
      </w:r>
    </w:p>
    <w:p w14:paraId="1D832E11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O</w:t>
      </w:r>
      <w:r w:rsidR="009D71A8" w:rsidRPr="00866407">
        <w:rPr>
          <w:rFonts w:ascii="Tahoma" w:hAnsi="Tahoma" w:cs="Tahoma"/>
          <w:sz w:val="20"/>
        </w:rPr>
        <w:t>dchylně od příslušných pojistných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podmínek se za uzavřený prostor se považuje i prostor ohraničený prosklenou fasádou 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prostor ohraničený pláštěm (i střechou) sendvičové konstrukce a lehkými stavebními příčkami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(sádrokartonovými i prosklenými). Ve střeše se mohou nacházet světlíky a požární klapky. Za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uzavřený prostor se dále považují také staveništní mobilní buňky. Za uzamčené dveře nebo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vrata se považují i požární dveře, prosklené dveře (uzavřené elektromechanickým ovládáním) 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vratové systémy. Za uzamčená vrata se považují i vrata a mříže uzavřené elektrickým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pohonem. Prosklené plochy nemusí být mechanicky zabezpečeny. Elektrickým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zabezpečovacím systémem se rozumí systém udržovaný v provozuschopném stavu (kontrola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provozuschopnosti dle požadavku výrobce), jehož signál je vyveden do místa se stálou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obsluhou (za místo se stálou obsluhou se považuje i recepce a vrátnice).</w:t>
      </w:r>
    </w:p>
    <w:p w14:paraId="4C8AF713" w14:textId="77777777" w:rsidR="00866407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866407">
        <w:rPr>
          <w:rFonts w:ascii="Tahoma" w:hAnsi="Tahoma" w:cs="Tahoma"/>
          <w:sz w:val="20"/>
        </w:rPr>
        <w:t>Ujednání p</w:t>
      </w:r>
      <w:r w:rsidR="009D71A8" w:rsidRPr="00866407">
        <w:rPr>
          <w:rFonts w:ascii="Tahoma" w:hAnsi="Tahoma" w:cs="Tahoma"/>
          <w:sz w:val="20"/>
        </w:rPr>
        <w:t>ro pojištění skel</w:t>
      </w:r>
      <w:r w:rsidRPr="00866407">
        <w:rPr>
          <w:rFonts w:ascii="Tahoma" w:hAnsi="Tahoma" w:cs="Tahoma"/>
          <w:sz w:val="20"/>
        </w:rPr>
        <w:t xml:space="preserve"> - </w:t>
      </w:r>
      <w:r w:rsidR="009D71A8" w:rsidRPr="00866407">
        <w:rPr>
          <w:rFonts w:ascii="Tahoma" w:hAnsi="Tahoma" w:cs="Tahoma"/>
          <w:sz w:val="20"/>
        </w:rPr>
        <w:t>pojištění se vztahuje i na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nalepené neodnímatelné snímače zabezpečovacích zařízení, nalepené fólie, nápisy, malby</w:t>
      </w:r>
      <w:r w:rsidRPr="00866407">
        <w:rPr>
          <w:rFonts w:ascii="Tahoma" w:hAnsi="Tahoma" w:cs="Tahoma"/>
          <w:sz w:val="20"/>
        </w:rPr>
        <w:t xml:space="preserve"> </w:t>
      </w:r>
      <w:r w:rsidR="009D71A8" w:rsidRPr="00866407">
        <w:rPr>
          <w:rFonts w:ascii="Tahoma" w:hAnsi="Tahoma" w:cs="Tahoma"/>
          <w:sz w:val="20"/>
        </w:rPr>
        <w:t>nebo jiné výzdoby, jsou-li součástí pojištěného skla.</w:t>
      </w:r>
      <w:r>
        <w:rPr>
          <w:rFonts w:ascii="Tahoma" w:hAnsi="Tahoma" w:cs="Tahoma"/>
          <w:sz w:val="20"/>
        </w:rPr>
        <w:t xml:space="preserve"> </w:t>
      </w:r>
    </w:p>
    <w:p w14:paraId="0A3576E3" w14:textId="77777777" w:rsidR="002C07A1" w:rsidRDefault="00866407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P</w:t>
      </w:r>
      <w:r w:rsidR="009D71A8" w:rsidRPr="002C07A1">
        <w:rPr>
          <w:rFonts w:ascii="Tahoma" w:hAnsi="Tahoma" w:cs="Tahoma"/>
          <w:sz w:val="20"/>
        </w:rPr>
        <w:t>ro pojištění skel, ujednání o tom, že pojištění se vztahuje i na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vnější osvětlení, světelné reklamy a světelné nápisy včetně jejich elektrické instalace a nosné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konstrukce.</w:t>
      </w:r>
    </w:p>
    <w:p w14:paraId="401E93EB" w14:textId="77777777" w:rsidR="002C07A1" w:rsidRDefault="002C07A1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P</w:t>
      </w:r>
      <w:r w:rsidR="009D71A8" w:rsidRPr="002C07A1">
        <w:rPr>
          <w:rFonts w:ascii="Tahoma" w:hAnsi="Tahoma" w:cs="Tahoma"/>
          <w:sz w:val="20"/>
        </w:rPr>
        <w:t>ro pojištění skel, ujednání o tom, že pojištění se vztahuje i na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skleněné pulty, vitríny a skleněné stěny uvnitř budovy.</w:t>
      </w:r>
    </w:p>
    <w:p w14:paraId="701D73B6" w14:textId="77777777" w:rsidR="002C07A1" w:rsidRDefault="002C07A1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P</w:t>
      </w:r>
      <w:r w:rsidR="009D71A8" w:rsidRPr="002C07A1">
        <w:rPr>
          <w:rFonts w:ascii="Tahoma" w:hAnsi="Tahoma" w:cs="Tahoma"/>
          <w:sz w:val="20"/>
        </w:rPr>
        <w:t>ro pojištění elektroniky, ujednání o tom, že pojištění se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vztahuje i na zařízení, jejichž stáří v době vzniku škody přesáhlo 5 let.</w:t>
      </w:r>
    </w:p>
    <w:p w14:paraId="34ED090D" w14:textId="77777777" w:rsidR="002C07A1" w:rsidRDefault="002C07A1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 xml:space="preserve">Pro </w:t>
      </w:r>
      <w:r w:rsidR="009D71A8" w:rsidRPr="002C07A1">
        <w:rPr>
          <w:rFonts w:ascii="Tahoma" w:hAnsi="Tahoma" w:cs="Tahoma"/>
          <w:sz w:val="20"/>
        </w:rPr>
        <w:t>pojištění strojů, ujednání o tom, že pojištění se vztahuje i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na zařízení, jejichž stáří v době vzniku škody přesáhlo 5 let.</w:t>
      </w:r>
    </w:p>
    <w:p w14:paraId="0480FBFC" w14:textId="77777777" w:rsidR="002C07A1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Návrh smlouvy nesmí obsahovat výluky týkající se škodní události následkem povodně, záplav</w:t>
      </w:r>
      <w:r w:rsidR="002C07A1" w:rsidRPr="002C07A1">
        <w:rPr>
          <w:rFonts w:ascii="Tahoma" w:hAnsi="Tahoma" w:cs="Tahoma"/>
          <w:sz w:val="20"/>
        </w:rPr>
        <w:t xml:space="preserve"> </w:t>
      </w:r>
      <w:r w:rsidRPr="002C07A1">
        <w:rPr>
          <w:rFonts w:ascii="Tahoma" w:hAnsi="Tahoma" w:cs="Tahoma"/>
          <w:sz w:val="20"/>
        </w:rPr>
        <w:t>a vichřicí v souvislosti možného neplnění do 10 dnů po sjednání pojištění.</w:t>
      </w:r>
    </w:p>
    <w:p w14:paraId="634FB83A" w14:textId="201DFDF7" w:rsidR="002C07A1" w:rsidRPr="007C0FB0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Cena plnění veřejné zakázky bude zadavatelem hrazena na základě daňového dokladu –</w:t>
      </w:r>
      <w:r w:rsidR="002C07A1" w:rsidRPr="002C07A1">
        <w:rPr>
          <w:rFonts w:ascii="Tahoma" w:hAnsi="Tahoma" w:cs="Tahoma"/>
          <w:sz w:val="20"/>
        </w:rPr>
        <w:t xml:space="preserve"> </w:t>
      </w:r>
      <w:r w:rsidRPr="007C0FB0">
        <w:rPr>
          <w:rFonts w:ascii="Tahoma" w:hAnsi="Tahoma" w:cs="Tahoma"/>
          <w:sz w:val="20"/>
        </w:rPr>
        <w:t>faktury, kterou je oprávněn vystavit vždy ke konci příslušného kalendářního čtvrtletí, ve</w:t>
      </w:r>
      <w:r w:rsidR="002C07A1" w:rsidRPr="007C0FB0">
        <w:rPr>
          <w:rFonts w:ascii="Tahoma" w:hAnsi="Tahoma" w:cs="Tahoma"/>
          <w:sz w:val="20"/>
        </w:rPr>
        <w:t xml:space="preserve"> </w:t>
      </w:r>
      <w:r w:rsidRPr="007C0FB0">
        <w:rPr>
          <w:rFonts w:ascii="Tahoma" w:hAnsi="Tahoma" w:cs="Tahoma"/>
          <w:sz w:val="20"/>
        </w:rPr>
        <w:t xml:space="preserve">kterém se řádně plnil předmět veřejné zakázky. Do pojistné smlouvy </w:t>
      </w:r>
      <w:r w:rsidR="007C0FB0" w:rsidRPr="007C0FB0">
        <w:rPr>
          <w:rFonts w:ascii="Tahoma" w:hAnsi="Tahoma" w:cs="Tahoma"/>
          <w:sz w:val="20"/>
        </w:rPr>
        <w:t>b</w:t>
      </w:r>
      <w:r w:rsidR="00E70D5A" w:rsidRPr="007C0FB0">
        <w:rPr>
          <w:rFonts w:ascii="Tahoma" w:hAnsi="Tahoma" w:cs="Tahoma"/>
          <w:sz w:val="20"/>
        </w:rPr>
        <w:t xml:space="preserve">ude </w:t>
      </w:r>
      <w:r w:rsidRPr="007C0FB0">
        <w:rPr>
          <w:rFonts w:ascii="Tahoma" w:hAnsi="Tahoma" w:cs="Tahoma"/>
          <w:sz w:val="20"/>
        </w:rPr>
        <w:t>zakomponována makléřská doložka</w:t>
      </w:r>
      <w:r w:rsidR="007C0FB0" w:rsidRPr="007C0FB0">
        <w:rPr>
          <w:rFonts w:ascii="Tahoma" w:hAnsi="Tahoma" w:cs="Tahoma"/>
          <w:sz w:val="20"/>
        </w:rPr>
        <w:t xml:space="preserve"> s makléřem, se kterým bude mít zadavatel uzavřenu smlouvu.</w:t>
      </w:r>
      <w:r w:rsidR="00E70D5A" w:rsidRPr="007C0FB0">
        <w:rPr>
          <w:rFonts w:ascii="Tahoma" w:hAnsi="Tahoma" w:cs="Tahoma"/>
          <w:sz w:val="20"/>
        </w:rPr>
        <w:t xml:space="preserve"> Náklady na činnost makléře si zadavatel bude hradit z vlastních prostředků.</w:t>
      </w:r>
      <w:r w:rsidR="007C0FB0" w:rsidRPr="007C0FB0">
        <w:rPr>
          <w:rFonts w:ascii="Tahoma" w:hAnsi="Tahoma" w:cs="Tahoma"/>
          <w:sz w:val="20"/>
        </w:rPr>
        <w:t xml:space="preserve"> </w:t>
      </w:r>
    </w:p>
    <w:p w14:paraId="045B866E" w14:textId="7AC42BC3" w:rsidR="002C07A1" w:rsidRDefault="002C07A1" w:rsidP="002C07A1">
      <w:pPr>
        <w:pStyle w:val="Odstavecseseznamem"/>
        <w:spacing w:before="120" w:line="240" w:lineRule="auto"/>
        <w:jc w:val="both"/>
        <w:rPr>
          <w:rFonts w:ascii="Tahoma" w:hAnsi="Tahoma" w:cs="Tahoma"/>
          <w:sz w:val="20"/>
        </w:rPr>
      </w:pPr>
      <w:r w:rsidRPr="007C0FB0">
        <w:rPr>
          <w:rFonts w:ascii="Tahoma" w:hAnsi="Tahoma" w:cs="Tahoma"/>
          <w:sz w:val="20"/>
        </w:rPr>
        <w:t xml:space="preserve">Veškerý styk, který se bude týkat této pojistné smlouvy, včetně hlášení pojistných událostí, </w:t>
      </w:r>
      <w:r w:rsidR="00E70D5A" w:rsidRPr="007C0FB0">
        <w:rPr>
          <w:rFonts w:ascii="Tahoma" w:hAnsi="Tahoma" w:cs="Tahoma"/>
          <w:sz w:val="20"/>
        </w:rPr>
        <w:t xml:space="preserve">pak </w:t>
      </w:r>
      <w:r w:rsidRPr="007C0FB0">
        <w:rPr>
          <w:rFonts w:ascii="Tahoma" w:hAnsi="Tahoma" w:cs="Tahoma"/>
          <w:sz w:val="20"/>
        </w:rPr>
        <w:t>bude prováděn</w:t>
      </w:r>
      <w:r w:rsidRPr="002C07A1">
        <w:rPr>
          <w:rFonts w:ascii="Tahoma" w:hAnsi="Tahoma" w:cs="Tahoma"/>
          <w:sz w:val="20"/>
        </w:rPr>
        <w:t xml:space="preserve"> výhradně</w:t>
      </w:r>
      <w:r>
        <w:rPr>
          <w:rFonts w:ascii="Tahoma" w:hAnsi="Tahoma" w:cs="Tahoma"/>
          <w:sz w:val="20"/>
        </w:rPr>
        <w:t xml:space="preserve"> </w:t>
      </w:r>
      <w:r w:rsidRPr="002C07A1">
        <w:rPr>
          <w:rFonts w:ascii="Tahoma" w:hAnsi="Tahoma" w:cs="Tahoma"/>
          <w:sz w:val="20"/>
        </w:rPr>
        <w:t>prostřednictvím makléře. Prohlášení a jiné úkony pojištěného směrované pojistiteli jsou vůči</w:t>
      </w:r>
      <w:r>
        <w:rPr>
          <w:rFonts w:ascii="Tahoma" w:hAnsi="Tahoma" w:cs="Tahoma"/>
          <w:sz w:val="20"/>
        </w:rPr>
        <w:t xml:space="preserve"> </w:t>
      </w:r>
      <w:r w:rsidRPr="002C07A1">
        <w:rPr>
          <w:rFonts w:ascii="Tahoma" w:hAnsi="Tahoma" w:cs="Tahoma"/>
          <w:sz w:val="20"/>
        </w:rPr>
        <w:t>pojistiteli účinné doručením makléři. Makléř je povinen o těchto úkonech pojistitele</w:t>
      </w:r>
      <w:r>
        <w:rPr>
          <w:rFonts w:ascii="Tahoma" w:hAnsi="Tahoma" w:cs="Tahoma"/>
          <w:sz w:val="20"/>
        </w:rPr>
        <w:t xml:space="preserve"> </w:t>
      </w:r>
      <w:r w:rsidRPr="009D71A8">
        <w:rPr>
          <w:rFonts w:ascii="Tahoma" w:hAnsi="Tahoma" w:cs="Tahoma"/>
          <w:sz w:val="20"/>
        </w:rPr>
        <w:t>informovat bez zbytečného prodlení.</w:t>
      </w:r>
    </w:p>
    <w:p w14:paraId="4640D904" w14:textId="77777777" w:rsidR="002C07A1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Splatnost každé faktury nesmí být kratší než 14 dnů ode dne jejího doručení zadavateli.</w:t>
      </w:r>
    </w:p>
    <w:p w14:paraId="40D24AFD" w14:textId="77777777" w:rsidR="002C07A1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Faktura musí obsahovat všechny náležitosti ve smyslu příslušných zákonných ustanovení. V</w:t>
      </w:r>
      <w:r w:rsidR="002C07A1" w:rsidRPr="002C07A1">
        <w:rPr>
          <w:rFonts w:ascii="Tahoma" w:hAnsi="Tahoma" w:cs="Tahoma"/>
          <w:sz w:val="20"/>
        </w:rPr>
        <w:t xml:space="preserve"> </w:t>
      </w:r>
      <w:r w:rsidRPr="002C07A1">
        <w:rPr>
          <w:rFonts w:ascii="Tahoma" w:hAnsi="Tahoma" w:cs="Tahoma"/>
          <w:sz w:val="20"/>
        </w:rPr>
        <w:t>případě, že faktura nebude mít odpovídající náležitosti, je zadavatel oprávněn ji zaslat zpět</w:t>
      </w:r>
      <w:r w:rsidR="002C07A1" w:rsidRPr="002C07A1">
        <w:rPr>
          <w:rFonts w:ascii="Tahoma" w:hAnsi="Tahoma" w:cs="Tahoma"/>
          <w:sz w:val="20"/>
        </w:rPr>
        <w:t xml:space="preserve"> </w:t>
      </w:r>
      <w:r w:rsidRPr="002C07A1">
        <w:rPr>
          <w:rFonts w:ascii="Tahoma" w:hAnsi="Tahoma" w:cs="Tahoma"/>
          <w:sz w:val="20"/>
        </w:rPr>
        <w:t>k doplnění, aniž se tak dostane do prodlení se splatností; lhůta splatnosti počíná běžet znovu</w:t>
      </w:r>
      <w:r w:rsidR="002C07A1" w:rsidRPr="002C07A1">
        <w:rPr>
          <w:rFonts w:ascii="Tahoma" w:hAnsi="Tahoma" w:cs="Tahoma"/>
          <w:sz w:val="20"/>
        </w:rPr>
        <w:t xml:space="preserve"> </w:t>
      </w:r>
      <w:r w:rsidRPr="002C07A1">
        <w:rPr>
          <w:rFonts w:ascii="Tahoma" w:hAnsi="Tahoma" w:cs="Tahoma"/>
          <w:sz w:val="20"/>
        </w:rPr>
        <w:t>od opětovného doručení náležitě doplněného či opraveného dokladu.</w:t>
      </w:r>
    </w:p>
    <w:p w14:paraId="5E93B243" w14:textId="77777777" w:rsidR="002C07A1" w:rsidRDefault="009D71A8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Platby pojistného budou prováděny v české měně. Roční pojistné bude splatné čtvrtletně, ve</w:t>
      </w:r>
      <w:r w:rsidR="002C07A1" w:rsidRPr="002C07A1">
        <w:rPr>
          <w:rFonts w:ascii="Tahoma" w:hAnsi="Tahoma" w:cs="Tahoma"/>
          <w:sz w:val="20"/>
        </w:rPr>
        <w:t xml:space="preserve"> </w:t>
      </w:r>
      <w:r w:rsidRPr="002C07A1">
        <w:rPr>
          <w:rFonts w:ascii="Tahoma" w:hAnsi="Tahoma" w:cs="Tahoma"/>
          <w:sz w:val="20"/>
        </w:rPr>
        <w:t>čtyřech splátkách v každém kalendářním roce pojištění, a to k 31. 01., 01. 04., 01. 07. a k 01.</w:t>
      </w:r>
      <w:r w:rsidR="002C07A1" w:rsidRPr="002C07A1">
        <w:rPr>
          <w:rFonts w:ascii="Tahoma" w:hAnsi="Tahoma" w:cs="Tahoma"/>
          <w:sz w:val="20"/>
        </w:rPr>
        <w:t xml:space="preserve"> </w:t>
      </w:r>
      <w:r w:rsidRPr="002C07A1">
        <w:rPr>
          <w:rFonts w:ascii="Tahoma" w:hAnsi="Tahoma" w:cs="Tahoma"/>
          <w:sz w:val="20"/>
        </w:rPr>
        <w:t>10. v prvním roce pojištění a dále vždy k 15. 01., 01. 04., 01. 07. a k 01. 10. následujících</w:t>
      </w:r>
      <w:r w:rsidR="002C07A1" w:rsidRPr="002C07A1">
        <w:rPr>
          <w:rFonts w:ascii="Tahoma" w:hAnsi="Tahoma" w:cs="Tahoma"/>
          <w:sz w:val="20"/>
        </w:rPr>
        <w:t xml:space="preserve"> kalendářních let. </w:t>
      </w:r>
    </w:p>
    <w:p w14:paraId="632A92D3" w14:textId="77777777" w:rsidR="002C07A1" w:rsidRDefault="002C07A1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U</w:t>
      </w:r>
      <w:r w:rsidR="009D71A8" w:rsidRPr="002C07A1">
        <w:rPr>
          <w:rFonts w:ascii="Tahoma" w:hAnsi="Tahoma" w:cs="Tahoma"/>
          <w:sz w:val="20"/>
        </w:rPr>
        <w:t>jednání o neplatnosti postoupení pohledávky druhé smluvní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strany vzniklé z pojistné smlouvy bez předchozího písemného souhlasu zadavatele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s postoupením.</w:t>
      </w:r>
    </w:p>
    <w:p w14:paraId="734F845D" w14:textId="77777777" w:rsidR="002C07A1" w:rsidRDefault="002C07A1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lastRenderedPageBreak/>
        <w:t>U</w:t>
      </w:r>
      <w:r w:rsidR="009D71A8" w:rsidRPr="002C07A1">
        <w:rPr>
          <w:rFonts w:ascii="Tahoma" w:hAnsi="Tahoma" w:cs="Tahoma"/>
          <w:sz w:val="20"/>
        </w:rPr>
        <w:t>jednání o sjednání smluvní pokuty za zastavení pohledávky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druhé smluvní strany vzniklé z pojistné smlouvy bez předchozího písemného souhlasu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zadavatele, a to ve výši 10 % z nomi</w:t>
      </w:r>
      <w:r w:rsidRPr="002C07A1">
        <w:rPr>
          <w:rFonts w:ascii="Tahoma" w:hAnsi="Tahoma" w:cs="Tahoma"/>
          <w:sz w:val="20"/>
        </w:rPr>
        <w:t xml:space="preserve">nální výše zastavené pohledávky. </w:t>
      </w:r>
    </w:p>
    <w:p w14:paraId="4C95CA36" w14:textId="77777777" w:rsidR="002C07A1" w:rsidRDefault="002C07A1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Ujednání o platnosti započtení v</w:t>
      </w:r>
      <w:r w:rsidR="009D71A8" w:rsidRPr="002C07A1">
        <w:rPr>
          <w:rFonts w:ascii="Tahoma" w:hAnsi="Tahoma" w:cs="Tahoma"/>
          <w:sz w:val="20"/>
        </w:rPr>
        <w:t>zájemných pohledávek výlučně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na základě písemné dohody smluvních stran.</w:t>
      </w:r>
    </w:p>
    <w:p w14:paraId="297B5F26" w14:textId="77777777" w:rsidR="001B03B9" w:rsidRDefault="002C07A1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2C07A1">
        <w:rPr>
          <w:rFonts w:ascii="Tahoma" w:hAnsi="Tahoma" w:cs="Tahoma"/>
          <w:sz w:val="20"/>
        </w:rPr>
        <w:t>Ú</w:t>
      </w:r>
      <w:r w:rsidR="009D71A8" w:rsidRPr="002C07A1">
        <w:rPr>
          <w:rFonts w:ascii="Tahoma" w:hAnsi="Tahoma" w:cs="Tahoma"/>
          <w:sz w:val="20"/>
        </w:rPr>
        <w:t>častník se zavazuje, že nebude navyšovat</w:t>
      </w:r>
      <w:r w:rsidRPr="002C07A1">
        <w:rPr>
          <w:rFonts w:ascii="Tahoma" w:hAnsi="Tahoma" w:cs="Tahoma"/>
          <w:sz w:val="20"/>
        </w:rPr>
        <w:t xml:space="preserve"> </w:t>
      </w:r>
      <w:r w:rsidR="009D71A8" w:rsidRPr="002C07A1">
        <w:rPr>
          <w:rFonts w:ascii="Tahoma" w:hAnsi="Tahoma" w:cs="Tahoma"/>
          <w:sz w:val="20"/>
        </w:rPr>
        <w:t>výši pojistného za požadovaný čtvrtletní způsob platby pojistného.</w:t>
      </w:r>
    </w:p>
    <w:p w14:paraId="7CFDECFF" w14:textId="77777777" w:rsidR="001B03B9" w:rsidRDefault="001B03B9" w:rsidP="001B03B9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1B03B9">
        <w:rPr>
          <w:rFonts w:ascii="Tahoma" w:hAnsi="Tahoma" w:cs="Tahoma"/>
          <w:sz w:val="20"/>
        </w:rPr>
        <w:t>Ú</w:t>
      </w:r>
      <w:r w:rsidR="009D71A8" w:rsidRPr="001B03B9">
        <w:rPr>
          <w:rFonts w:ascii="Tahoma" w:hAnsi="Tahoma" w:cs="Tahoma"/>
          <w:sz w:val="20"/>
        </w:rPr>
        <w:t>častník bere na vědomí, že smlouva včetně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jejích dodatků a příloh budou zveřejněny v registru smluv dle zákona č. 340/2015 Sb., o zvláštních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podmínkách účinnosti některých smluv, uveřejňování těchto smluv a o registru smluv (zákon o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registru smluv), v platném znění (dále jen „zákon o registru smluv“), případně mohou být tyto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zveřejněny i jiným vhodným způsobem, při dodržení zvláštních právních předpisů týkající se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ochrany osobních údajů. Pojistitel dává zároveň tímto pojistníkovi svůj výslovný souhlas ve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smyslu zákona č. 101/2000 Sb., o ochraně osobních údajů a o změně některých zákonů,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v platném znění, se zpracováním veškerých ve smlouvě uvedených osobních údajů, včetně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údajů citlivých, na dobu neurčitou, za účelem splnění smluvních povinností, evidence smlouvy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a zpřístupnění obsahu smlouvy veřejnosti.</w:t>
      </w:r>
    </w:p>
    <w:p w14:paraId="3479FBAE" w14:textId="77777777" w:rsidR="001B03B9" w:rsidRDefault="001B03B9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1B03B9">
        <w:rPr>
          <w:rFonts w:ascii="Tahoma" w:hAnsi="Tahoma" w:cs="Tahoma"/>
          <w:sz w:val="20"/>
        </w:rPr>
        <w:t>Sm</w:t>
      </w:r>
      <w:r w:rsidR="009D71A8" w:rsidRPr="001B03B9">
        <w:rPr>
          <w:rFonts w:ascii="Tahoma" w:hAnsi="Tahoma" w:cs="Tahoma"/>
          <w:sz w:val="20"/>
        </w:rPr>
        <w:t>louva nabývá platnosti dnem jejího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podpisu oběma smluvními stranami.</w:t>
      </w:r>
    </w:p>
    <w:p w14:paraId="46B92497" w14:textId="77777777" w:rsidR="001B03B9" w:rsidRDefault="001B03B9" w:rsidP="009D71A8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 w:rsidRPr="001B03B9">
        <w:rPr>
          <w:rFonts w:ascii="Tahoma" w:hAnsi="Tahoma" w:cs="Tahoma"/>
          <w:sz w:val="20"/>
        </w:rPr>
        <w:t>S</w:t>
      </w:r>
      <w:r w:rsidR="009D71A8" w:rsidRPr="001B03B9">
        <w:rPr>
          <w:rFonts w:ascii="Tahoma" w:hAnsi="Tahoma" w:cs="Tahoma"/>
          <w:sz w:val="20"/>
        </w:rPr>
        <w:t>mlouva nabývá účinnosti dnem uveřejnění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v registru smluv dle zákona o registru smluv. Zveřejnění ve smyslu zákona o registru smluv se</w:t>
      </w:r>
      <w:r w:rsidRPr="001B03B9">
        <w:rPr>
          <w:rFonts w:ascii="Tahoma" w:hAnsi="Tahoma" w:cs="Tahoma"/>
          <w:sz w:val="20"/>
        </w:rPr>
        <w:t xml:space="preserve"> </w:t>
      </w:r>
      <w:r w:rsidR="009D71A8" w:rsidRPr="001B03B9">
        <w:rPr>
          <w:rFonts w:ascii="Tahoma" w:hAnsi="Tahoma" w:cs="Tahoma"/>
          <w:sz w:val="20"/>
        </w:rPr>
        <w:t>zavazuje zajistit pojistník do 30 dnů od podpisu smlouvy oběma smluvními stranami.</w:t>
      </w:r>
    </w:p>
    <w:p w14:paraId="47BDA1A7" w14:textId="77777777" w:rsidR="001B03B9" w:rsidRDefault="001B03B9" w:rsidP="001B03B9">
      <w:pPr>
        <w:pStyle w:val="Odstavecseseznamem"/>
        <w:numPr>
          <w:ilvl w:val="0"/>
          <w:numId w:val="1"/>
        </w:numPr>
        <w:spacing w:before="12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Smlouva bude doplněna doložkou </w:t>
      </w:r>
      <w:r w:rsidRPr="001B03B9">
        <w:rPr>
          <w:rFonts w:ascii="Tahoma" w:hAnsi="Tahoma" w:cs="Tahoma"/>
          <w:sz w:val="20"/>
        </w:rPr>
        <w:t>platnosti právního jednání dle § 41 zákona č. 128/2000 Sb., o obcích (obecní zřízení) ve znění pozdějších předpisů</w:t>
      </w:r>
      <w:r>
        <w:rPr>
          <w:rFonts w:ascii="Tahoma" w:hAnsi="Tahoma" w:cs="Tahoma"/>
          <w:sz w:val="20"/>
        </w:rPr>
        <w:t>.</w:t>
      </w:r>
    </w:p>
    <w:p w14:paraId="50EF539E" w14:textId="77777777" w:rsidR="00721D4D" w:rsidRPr="00721D4D" w:rsidRDefault="00721D4D" w:rsidP="00721D4D">
      <w:pPr>
        <w:rPr>
          <w:lang w:eastAsia="x-none"/>
        </w:rPr>
      </w:pPr>
    </w:p>
    <w:sectPr w:rsidR="00721D4D" w:rsidRPr="0072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19"/>
    <w:multiLevelType w:val="hybridMultilevel"/>
    <w:tmpl w:val="3DC8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207D"/>
    <w:multiLevelType w:val="hybridMultilevel"/>
    <w:tmpl w:val="B7EC8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a Bartošková">
    <w15:presenceInfo w15:providerId="AD" w15:userId="S::simona.bartoskova@mufrenstat.cz::258fc4e5-eaa6-4aea-8da2-cd7210de6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D"/>
    <w:rsid w:val="000A22DD"/>
    <w:rsid w:val="000E6206"/>
    <w:rsid w:val="001B03B9"/>
    <w:rsid w:val="001D1563"/>
    <w:rsid w:val="002C07A1"/>
    <w:rsid w:val="00311D59"/>
    <w:rsid w:val="003C505C"/>
    <w:rsid w:val="003F1427"/>
    <w:rsid w:val="00620C3E"/>
    <w:rsid w:val="0069152F"/>
    <w:rsid w:val="00721D4D"/>
    <w:rsid w:val="0076605E"/>
    <w:rsid w:val="007C0FB0"/>
    <w:rsid w:val="00866407"/>
    <w:rsid w:val="009D71A8"/>
    <w:rsid w:val="00C20B91"/>
    <w:rsid w:val="00E70D5A"/>
    <w:rsid w:val="00F0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A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721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21D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D71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0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C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C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C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721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21D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D71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0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C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C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C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2129</Words>
  <Characters>12566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2019-11-05T12:22:00Z</dcterms:created>
  <dcterms:modified xsi:type="dcterms:W3CDTF">2019-11-05T12:22:00Z</dcterms:modified>
</cp:coreProperties>
</file>