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FD1F" w14:textId="77777777" w:rsidR="00FD337D" w:rsidRPr="00FD337D" w:rsidRDefault="00FD337D" w:rsidP="00865D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525738234"/>
    </w:p>
    <w:p w14:paraId="52E74984" w14:textId="70BF345E" w:rsidR="00A54272" w:rsidRPr="00FD337D" w:rsidRDefault="00F55BFA" w:rsidP="00865D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337D">
        <w:rPr>
          <w:rFonts w:ascii="Times New Roman" w:hAnsi="Times New Roman" w:cs="Times New Roman"/>
          <w:b/>
          <w:sz w:val="22"/>
          <w:szCs w:val="22"/>
        </w:rPr>
        <w:t xml:space="preserve">Příloha č. </w:t>
      </w:r>
      <w:r w:rsidR="005B37AE" w:rsidRPr="00FD337D">
        <w:rPr>
          <w:rFonts w:ascii="Times New Roman" w:hAnsi="Times New Roman" w:cs="Times New Roman"/>
          <w:b/>
          <w:sz w:val="22"/>
          <w:szCs w:val="22"/>
        </w:rPr>
        <w:t>1</w:t>
      </w:r>
      <w:r w:rsidRPr="00FD337D">
        <w:rPr>
          <w:rFonts w:ascii="Times New Roman" w:hAnsi="Times New Roman" w:cs="Times New Roman"/>
          <w:b/>
          <w:sz w:val="22"/>
          <w:szCs w:val="22"/>
        </w:rPr>
        <w:t xml:space="preserve"> zadávací dokumentace ve veřejné zakázce „</w:t>
      </w:r>
      <w:r w:rsidR="00265531" w:rsidRPr="00FD337D">
        <w:rPr>
          <w:rFonts w:ascii="Times New Roman" w:hAnsi="Times New Roman" w:cs="Times New Roman"/>
          <w:b/>
          <w:sz w:val="22"/>
          <w:szCs w:val="22"/>
        </w:rPr>
        <w:t xml:space="preserve">Vyvolávací </w:t>
      </w:r>
      <w:r w:rsidR="00214147" w:rsidRPr="00FD337D">
        <w:rPr>
          <w:rFonts w:ascii="Times New Roman" w:hAnsi="Times New Roman" w:cs="Times New Roman"/>
          <w:b/>
          <w:sz w:val="22"/>
          <w:szCs w:val="22"/>
        </w:rPr>
        <w:t>systém</w:t>
      </w:r>
      <w:r w:rsidR="00A54272" w:rsidRPr="00FD337D">
        <w:rPr>
          <w:rFonts w:ascii="Times New Roman" w:hAnsi="Times New Roman" w:cs="Times New Roman"/>
          <w:b/>
          <w:sz w:val="22"/>
          <w:szCs w:val="22"/>
        </w:rPr>
        <w:t>“</w:t>
      </w:r>
    </w:p>
    <w:p w14:paraId="0DFC37E1" w14:textId="77777777" w:rsidR="00CC60AA" w:rsidRPr="00FD337D" w:rsidRDefault="00CC60AA" w:rsidP="00580E07">
      <w:pPr>
        <w:rPr>
          <w:rFonts w:ascii="Times New Roman" w:hAnsi="Times New Roman" w:cs="Times New Roman"/>
          <w:sz w:val="22"/>
          <w:szCs w:val="22"/>
        </w:rPr>
      </w:pPr>
    </w:p>
    <w:p w14:paraId="1FF86DEF" w14:textId="77777777" w:rsidR="00265531" w:rsidRPr="00FD337D" w:rsidRDefault="00265531" w:rsidP="00580E07">
      <w:pPr>
        <w:rPr>
          <w:rFonts w:ascii="Times New Roman" w:hAnsi="Times New Roman" w:cs="Times New Roman"/>
          <w:sz w:val="22"/>
          <w:szCs w:val="22"/>
        </w:rPr>
      </w:pPr>
    </w:p>
    <w:p w14:paraId="189E3056" w14:textId="77777777" w:rsidR="00265531" w:rsidRPr="00FD337D" w:rsidRDefault="00265531" w:rsidP="00580E07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07B103CD" w14:textId="77777777" w:rsidR="00CC60AA" w:rsidRPr="00FD337D" w:rsidRDefault="00386473" w:rsidP="00865D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37D">
        <w:rPr>
          <w:rFonts w:ascii="Times New Roman" w:hAnsi="Times New Roman" w:cs="Times New Roman"/>
          <w:b/>
          <w:sz w:val="40"/>
          <w:szCs w:val="40"/>
        </w:rPr>
        <w:t>Technická specifikace</w:t>
      </w:r>
      <w:r w:rsidR="00110EF3" w:rsidRPr="00FD337D">
        <w:rPr>
          <w:rFonts w:ascii="Times New Roman" w:hAnsi="Times New Roman" w:cs="Times New Roman"/>
          <w:b/>
          <w:sz w:val="40"/>
          <w:szCs w:val="40"/>
        </w:rPr>
        <w:t xml:space="preserve"> předmětu dodávky</w:t>
      </w:r>
    </w:p>
    <w:p w14:paraId="2CEB7790" w14:textId="77777777" w:rsidR="006F7406" w:rsidRPr="00FD337D" w:rsidRDefault="006F7406" w:rsidP="00580E07">
      <w:pPr>
        <w:rPr>
          <w:rFonts w:ascii="Times New Roman" w:hAnsi="Times New Roman" w:cs="Times New Roman"/>
          <w:sz w:val="22"/>
          <w:szCs w:val="22"/>
        </w:rPr>
      </w:pPr>
    </w:p>
    <w:p w14:paraId="6056899B" w14:textId="77777777" w:rsidR="006F7406" w:rsidRPr="00FD337D" w:rsidRDefault="006F7406" w:rsidP="00580E07">
      <w:pPr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br w:type="page"/>
      </w:r>
    </w:p>
    <w:p w14:paraId="72E9E549" w14:textId="77777777" w:rsidR="006F7406" w:rsidRPr="00FD337D" w:rsidRDefault="006F7406" w:rsidP="003B30B3">
      <w:pPr>
        <w:pStyle w:val="Nadpismalmodr"/>
        <w:spacing w:before="0"/>
      </w:pPr>
      <w:r w:rsidRPr="00FD337D">
        <w:lastRenderedPageBreak/>
        <w:t>PŘEDMĚT A ÚČEL VEŘEJNÉ ZAKÁZKY</w:t>
      </w:r>
    </w:p>
    <w:p w14:paraId="120E0387" w14:textId="0BA47B35" w:rsidR="00265531" w:rsidRPr="00FD337D" w:rsidRDefault="00265531" w:rsidP="003B30B3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Předmětem plnění veřejné zakázky je dodávka nového vyvolávacího systému v prostorách zadavatele. Součástí předmětu plnění je instalace systému a dodávka koncových zařízení (displeje, tiskárny apod.).</w:t>
      </w:r>
      <w:r w:rsidR="00201641" w:rsidRPr="00FD337D">
        <w:rPr>
          <w:rFonts w:ascii="Times New Roman" w:hAnsi="Times New Roman" w:cs="Times New Roman"/>
          <w:sz w:val="22"/>
          <w:szCs w:val="22"/>
        </w:rPr>
        <w:t xml:space="preserve"> Silové a datové vedení bude zadavatelem zprostředkováno na patu místnosti, vnitřní rozvody půjdou k tíži dodavatele.</w:t>
      </w:r>
    </w:p>
    <w:p w14:paraId="3EAA1BFF" w14:textId="7B2DBBF6" w:rsidR="00D12F4E" w:rsidRPr="00FD337D" w:rsidRDefault="00265531" w:rsidP="003B30B3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 xml:space="preserve">Výsledkem bude nový informační systém umožňující efektivní řešení odbavování klientů na </w:t>
      </w:r>
      <w:r w:rsidR="00EC17EC">
        <w:rPr>
          <w:rFonts w:ascii="Times New Roman" w:hAnsi="Times New Roman" w:cs="Times New Roman"/>
          <w:sz w:val="22"/>
          <w:szCs w:val="22"/>
        </w:rPr>
        <w:t>odboru dopravy</w:t>
      </w:r>
      <w:r w:rsidRPr="00FD33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337D">
        <w:rPr>
          <w:rFonts w:ascii="Times New Roman" w:hAnsi="Times New Roman" w:cs="Times New Roman"/>
          <w:sz w:val="22"/>
          <w:szCs w:val="22"/>
        </w:rPr>
        <w:t>MěÚ</w:t>
      </w:r>
      <w:proofErr w:type="spellEnd"/>
      <w:r w:rsidRPr="00FD337D">
        <w:rPr>
          <w:rFonts w:ascii="Times New Roman" w:hAnsi="Times New Roman" w:cs="Times New Roman"/>
          <w:sz w:val="22"/>
          <w:szCs w:val="22"/>
        </w:rPr>
        <w:t xml:space="preserve"> </w:t>
      </w:r>
      <w:r w:rsidR="00317D9C" w:rsidRPr="00FD337D">
        <w:rPr>
          <w:rFonts w:ascii="Times New Roman" w:hAnsi="Times New Roman" w:cs="Times New Roman"/>
          <w:sz w:val="22"/>
          <w:szCs w:val="22"/>
        </w:rPr>
        <w:t>Frenštát pod Radhoštěm</w:t>
      </w:r>
      <w:r w:rsidRPr="00FD337D">
        <w:rPr>
          <w:rFonts w:ascii="Times New Roman" w:hAnsi="Times New Roman" w:cs="Times New Roman"/>
          <w:sz w:val="22"/>
          <w:szCs w:val="22"/>
        </w:rPr>
        <w:t>.</w:t>
      </w:r>
      <w:r w:rsidR="00317D9C" w:rsidRPr="00FD337D">
        <w:rPr>
          <w:rFonts w:ascii="Times New Roman" w:hAnsi="Times New Roman" w:cs="Times New Roman"/>
          <w:sz w:val="22"/>
          <w:szCs w:val="22"/>
        </w:rPr>
        <w:t xml:space="preserve"> Systém musí být rozšiřitelný pro případ, kdy zadavatel bude potřebovat rozšířit tento systém i na jiné odbory. </w:t>
      </w:r>
    </w:p>
    <w:p w14:paraId="1F00EA31" w14:textId="77777777" w:rsidR="00265531" w:rsidRPr="00FD337D" w:rsidRDefault="00265531" w:rsidP="003B30B3">
      <w:pPr>
        <w:spacing w:before="0"/>
        <w:rPr>
          <w:rFonts w:ascii="Times New Roman" w:hAnsi="Times New Roman" w:cs="Times New Roman"/>
          <w:sz w:val="22"/>
          <w:szCs w:val="22"/>
        </w:rPr>
      </w:pPr>
    </w:p>
    <w:p w14:paraId="01252A81" w14:textId="77777777" w:rsidR="006F7406" w:rsidRPr="003B30B3" w:rsidRDefault="006F7406" w:rsidP="003B30B3">
      <w:pPr>
        <w:pStyle w:val="Nadpismalmodr"/>
        <w:spacing w:before="0"/>
      </w:pPr>
      <w:r w:rsidRPr="003B30B3">
        <w:t>POPIS SOUČASNÉHO STAVU</w:t>
      </w:r>
    </w:p>
    <w:p w14:paraId="09DC3C08" w14:textId="027405DC" w:rsidR="00265531" w:rsidRPr="00FD337D" w:rsidRDefault="00563DB5" w:rsidP="003B30B3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Současný vyvolávací systém na</w:t>
      </w:r>
      <w:r w:rsidR="00265531" w:rsidRPr="00FD33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65531" w:rsidRPr="00FD337D">
        <w:rPr>
          <w:rFonts w:ascii="Times New Roman" w:hAnsi="Times New Roman" w:cs="Times New Roman"/>
          <w:sz w:val="22"/>
          <w:szCs w:val="22"/>
        </w:rPr>
        <w:t>MěÚ</w:t>
      </w:r>
      <w:proofErr w:type="spellEnd"/>
      <w:r w:rsidR="00265531" w:rsidRPr="00FD337D">
        <w:rPr>
          <w:rFonts w:ascii="Times New Roman" w:hAnsi="Times New Roman" w:cs="Times New Roman"/>
          <w:sz w:val="22"/>
          <w:szCs w:val="22"/>
        </w:rPr>
        <w:t xml:space="preserve"> </w:t>
      </w:r>
      <w:r w:rsidRPr="00FD337D">
        <w:rPr>
          <w:rFonts w:ascii="Times New Roman" w:hAnsi="Times New Roman" w:cs="Times New Roman"/>
          <w:sz w:val="22"/>
          <w:szCs w:val="22"/>
        </w:rPr>
        <w:t>Frenštát pod Radhoštěm</w:t>
      </w:r>
      <w:r w:rsidR="00265531" w:rsidRPr="00FD337D">
        <w:rPr>
          <w:rFonts w:ascii="Times New Roman" w:hAnsi="Times New Roman" w:cs="Times New Roman"/>
          <w:sz w:val="22"/>
          <w:szCs w:val="22"/>
        </w:rPr>
        <w:t xml:space="preserve"> je v současné chvíli nainstalován na:</w:t>
      </w:r>
    </w:p>
    <w:p w14:paraId="1A0D3092" w14:textId="6331CF9F" w:rsidR="00265531" w:rsidRPr="00FD337D" w:rsidRDefault="00265531" w:rsidP="00A707DE">
      <w:pPr>
        <w:pStyle w:val="Odrka"/>
        <w:spacing w:before="0" w:after="120"/>
        <w:ind w:left="426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 xml:space="preserve">Odboru </w:t>
      </w:r>
      <w:proofErr w:type="gramStart"/>
      <w:r w:rsidRPr="00FD337D">
        <w:rPr>
          <w:rFonts w:ascii="Times New Roman" w:hAnsi="Times New Roman"/>
          <w:sz w:val="22"/>
          <w:szCs w:val="22"/>
        </w:rPr>
        <w:t xml:space="preserve">dopravy </w:t>
      </w:r>
      <w:r w:rsidR="00201641" w:rsidRPr="00FD337D">
        <w:rPr>
          <w:rFonts w:ascii="Times New Roman" w:hAnsi="Times New Roman"/>
          <w:sz w:val="22"/>
          <w:szCs w:val="22"/>
        </w:rPr>
        <w:t>−</w:t>
      </w:r>
      <w:r w:rsidRPr="00FD337D">
        <w:rPr>
          <w:rFonts w:ascii="Times New Roman" w:hAnsi="Times New Roman"/>
          <w:sz w:val="22"/>
          <w:szCs w:val="22"/>
        </w:rPr>
        <w:t xml:space="preserve"> evidence</w:t>
      </w:r>
      <w:proofErr w:type="gramEnd"/>
      <w:r w:rsidRPr="00FD337D">
        <w:rPr>
          <w:rFonts w:ascii="Times New Roman" w:hAnsi="Times New Roman"/>
          <w:sz w:val="22"/>
          <w:szCs w:val="22"/>
        </w:rPr>
        <w:t xml:space="preserve"> řidičů a evidence vozidel </w:t>
      </w:r>
    </w:p>
    <w:p w14:paraId="070D0CB0" w14:textId="71CC1971" w:rsidR="00265531" w:rsidRPr="00FD337D" w:rsidRDefault="00265531" w:rsidP="003B30B3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T</w:t>
      </w:r>
      <w:r w:rsidR="00563DB5" w:rsidRPr="00FD337D">
        <w:rPr>
          <w:rFonts w:ascii="Times New Roman" w:hAnsi="Times New Roman" w:cs="Times New Roman"/>
          <w:sz w:val="22"/>
          <w:szCs w:val="22"/>
        </w:rPr>
        <w:t>ento</w:t>
      </w:r>
      <w:r w:rsidRPr="00FD337D">
        <w:rPr>
          <w:rFonts w:ascii="Times New Roman" w:hAnsi="Times New Roman" w:cs="Times New Roman"/>
          <w:sz w:val="22"/>
          <w:szCs w:val="22"/>
        </w:rPr>
        <w:t xml:space="preserve"> vyvolávací systémy jsou morálně zastaralé, každý od jiného dodavatele. Současný způsob nevyhovuje požadavkům zadavatele ani klientům úřadu. Zadavatel předpokládá úplnou náhradu stávajícího řešení novou dodávkou</w:t>
      </w:r>
      <w:r w:rsidR="00300DC7" w:rsidRPr="00FD337D">
        <w:rPr>
          <w:rFonts w:ascii="Times New Roman" w:hAnsi="Times New Roman" w:cs="Times New Roman"/>
          <w:sz w:val="22"/>
          <w:szCs w:val="22"/>
        </w:rPr>
        <w:t>, popřípadě využitím některým ze současných komponentů. Popis současného stavu včetně dokumentace je přílohou</w:t>
      </w:r>
      <w:r w:rsidR="00A707DE">
        <w:rPr>
          <w:rFonts w:ascii="Times New Roman" w:hAnsi="Times New Roman" w:cs="Times New Roman"/>
          <w:sz w:val="22"/>
          <w:szCs w:val="22"/>
        </w:rPr>
        <w:t xml:space="preserve"> č.5 ZD – Dokumentace stávajícího stavu.</w:t>
      </w:r>
    </w:p>
    <w:p w14:paraId="61D9A298" w14:textId="77777777" w:rsidR="00BE674C" w:rsidRPr="00FD337D" w:rsidRDefault="00BE674C" w:rsidP="003B30B3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Produkční prostředí zadavatele pro instalaci dodávky předmětu plnění veřejné zakázky:</w:t>
      </w:r>
    </w:p>
    <w:p w14:paraId="753F9847" w14:textId="44F30BA6" w:rsidR="00BE674C" w:rsidRPr="00FD337D" w:rsidRDefault="00BE674C" w:rsidP="003B30B3">
      <w:pPr>
        <w:pStyle w:val="Odstavecseseznamem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 xml:space="preserve">Doména </w:t>
      </w:r>
      <w:proofErr w:type="gramStart"/>
      <w:r w:rsidR="00FA7484" w:rsidRPr="00FD337D">
        <w:rPr>
          <w:rFonts w:ascii="Times New Roman" w:hAnsi="Times New Roman" w:cs="Times New Roman"/>
          <w:sz w:val="22"/>
          <w:szCs w:val="22"/>
        </w:rPr>
        <w:t>Windows  2019</w:t>
      </w:r>
      <w:proofErr w:type="gramEnd"/>
    </w:p>
    <w:p w14:paraId="23C1CDB0" w14:textId="47FFB5A4" w:rsidR="00BE674C" w:rsidRPr="00FD337D" w:rsidRDefault="00BE674C" w:rsidP="003B30B3">
      <w:pPr>
        <w:pStyle w:val="Odstavecseseznamem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 xml:space="preserve">Windows server </w:t>
      </w:r>
      <w:r w:rsidR="00FA7484" w:rsidRPr="00FD337D">
        <w:rPr>
          <w:rFonts w:ascii="Times New Roman" w:hAnsi="Times New Roman" w:cs="Times New Roman"/>
          <w:sz w:val="22"/>
          <w:szCs w:val="22"/>
        </w:rPr>
        <w:t>2019</w:t>
      </w:r>
    </w:p>
    <w:p w14:paraId="5CFC9002" w14:textId="614F5048" w:rsidR="00BE674C" w:rsidRPr="00FD337D" w:rsidRDefault="00BE674C" w:rsidP="003B30B3">
      <w:pPr>
        <w:pStyle w:val="Odstavecseseznamem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 xml:space="preserve">Virtuální prostředí </w:t>
      </w:r>
      <w:proofErr w:type="spellStart"/>
      <w:r w:rsidRPr="00FD337D">
        <w:rPr>
          <w:rFonts w:ascii="Times New Roman" w:hAnsi="Times New Roman" w:cs="Times New Roman"/>
          <w:sz w:val="22"/>
          <w:szCs w:val="22"/>
        </w:rPr>
        <w:t>VMware</w:t>
      </w:r>
      <w:proofErr w:type="spellEnd"/>
      <w:r w:rsidRPr="00FD33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337D">
        <w:rPr>
          <w:rFonts w:ascii="Times New Roman" w:hAnsi="Times New Roman" w:cs="Times New Roman"/>
          <w:sz w:val="22"/>
          <w:szCs w:val="22"/>
        </w:rPr>
        <w:t>vSphere</w:t>
      </w:r>
      <w:proofErr w:type="spellEnd"/>
      <w:r w:rsidRPr="00FD337D">
        <w:rPr>
          <w:rFonts w:ascii="Times New Roman" w:hAnsi="Times New Roman" w:cs="Times New Roman"/>
          <w:sz w:val="22"/>
          <w:szCs w:val="22"/>
        </w:rPr>
        <w:t xml:space="preserve"> </w:t>
      </w:r>
      <w:r w:rsidR="00FA7484" w:rsidRPr="00FD337D">
        <w:rPr>
          <w:rFonts w:ascii="Times New Roman" w:hAnsi="Times New Roman" w:cs="Times New Roman"/>
          <w:sz w:val="22"/>
          <w:szCs w:val="22"/>
        </w:rPr>
        <w:t>7</w:t>
      </w:r>
    </w:p>
    <w:p w14:paraId="1F6387E6" w14:textId="77777777" w:rsidR="00FA7484" w:rsidRPr="00FD337D" w:rsidRDefault="00FA7484" w:rsidP="003B30B3">
      <w:pPr>
        <w:pStyle w:val="Odstavecseseznamem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SQL Server 2019 Express</w:t>
      </w:r>
    </w:p>
    <w:p w14:paraId="4E12E8DA" w14:textId="3C0C3D63" w:rsidR="00BE674C" w:rsidRPr="00FD337D" w:rsidRDefault="00BE674C" w:rsidP="003B30B3">
      <w:pPr>
        <w:pStyle w:val="Odstavecseseznamem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 xml:space="preserve">Virtualizační servery HP </w:t>
      </w:r>
      <w:proofErr w:type="spellStart"/>
      <w:r w:rsidR="00563DB5" w:rsidRPr="00FD337D">
        <w:rPr>
          <w:rFonts w:ascii="Times New Roman" w:hAnsi="Times New Roman" w:cs="Times New Roman"/>
          <w:sz w:val="22"/>
          <w:szCs w:val="22"/>
        </w:rPr>
        <w:t>Proliant</w:t>
      </w:r>
      <w:proofErr w:type="spellEnd"/>
      <w:r w:rsidR="00563DB5" w:rsidRPr="00FD337D">
        <w:rPr>
          <w:rFonts w:ascii="Times New Roman" w:hAnsi="Times New Roman" w:cs="Times New Roman"/>
          <w:sz w:val="22"/>
          <w:szCs w:val="22"/>
        </w:rPr>
        <w:t xml:space="preserve"> Gen 10</w:t>
      </w:r>
    </w:p>
    <w:p w14:paraId="467BD367" w14:textId="2E601902" w:rsidR="00BE674C" w:rsidRPr="00FD337D" w:rsidRDefault="00563DB5" w:rsidP="003B30B3">
      <w:pPr>
        <w:pStyle w:val="Odstavecseseznamem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HP</w:t>
      </w:r>
      <w:r w:rsidR="00BE674C" w:rsidRPr="00FD33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E674C" w:rsidRPr="00FD337D">
        <w:rPr>
          <w:rFonts w:ascii="Times New Roman" w:hAnsi="Times New Roman" w:cs="Times New Roman"/>
          <w:sz w:val="22"/>
          <w:szCs w:val="22"/>
        </w:rPr>
        <w:t>storage</w:t>
      </w:r>
      <w:proofErr w:type="spellEnd"/>
      <w:r w:rsidR="00BE674C" w:rsidRPr="00FD33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69F8F4" w14:textId="096188EB" w:rsidR="00BE674C" w:rsidRPr="00FD337D" w:rsidRDefault="00BE674C" w:rsidP="003B30B3">
      <w:pPr>
        <w:pStyle w:val="Odstavecseseznamem"/>
        <w:numPr>
          <w:ilvl w:val="0"/>
          <w:numId w:val="2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 xml:space="preserve">Konektivita cca </w:t>
      </w:r>
      <w:r w:rsidR="00563DB5" w:rsidRPr="00FD337D">
        <w:rPr>
          <w:rFonts w:ascii="Times New Roman" w:hAnsi="Times New Roman" w:cs="Times New Roman"/>
          <w:sz w:val="22"/>
          <w:szCs w:val="22"/>
        </w:rPr>
        <w:t>300</w:t>
      </w:r>
      <w:r w:rsidRPr="00FD337D">
        <w:rPr>
          <w:rFonts w:ascii="Times New Roman" w:hAnsi="Times New Roman" w:cs="Times New Roman"/>
          <w:sz w:val="22"/>
          <w:szCs w:val="22"/>
        </w:rPr>
        <w:t xml:space="preserve"> Mb/s duplex.</w:t>
      </w:r>
    </w:p>
    <w:p w14:paraId="578056A5" w14:textId="53425A1A" w:rsidR="00265531" w:rsidRPr="00FD337D" w:rsidRDefault="00265531" w:rsidP="003B30B3">
      <w:pPr>
        <w:spacing w:before="0"/>
        <w:rPr>
          <w:rFonts w:ascii="Times New Roman" w:hAnsi="Times New Roman" w:cs="Times New Roman"/>
          <w:sz w:val="22"/>
          <w:szCs w:val="22"/>
        </w:rPr>
      </w:pPr>
    </w:p>
    <w:p w14:paraId="7188E602" w14:textId="77777777" w:rsidR="00265531" w:rsidRPr="00FD337D" w:rsidRDefault="00265531" w:rsidP="00580E07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ZÁKLADNÍ POŽADAVKY NA DODÁVKU</w:t>
      </w:r>
    </w:p>
    <w:p w14:paraId="2BECD469" w14:textId="3B488690" w:rsidR="00265531" w:rsidRPr="00FD337D" w:rsidRDefault="00265531" w:rsidP="00580E07">
      <w:pPr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 xml:space="preserve">Předmětem dodávky je informační systém umožňující efektivní řešení odbavování klientů na vybraných odborech </w:t>
      </w:r>
      <w:proofErr w:type="spellStart"/>
      <w:r w:rsidRPr="00FD337D">
        <w:rPr>
          <w:rFonts w:ascii="Times New Roman" w:hAnsi="Times New Roman" w:cs="Times New Roman"/>
          <w:sz w:val="22"/>
          <w:szCs w:val="22"/>
        </w:rPr>
        <w:t>MěÚ</w:t>
      </w:r>
      <w:proofErr w:type="spellEnd"/>
      <w:r w:rsidRPr="00FD337D">
        <w:rPr>
          <w:rFonts w:ascii="Times New Roman" w:hAnsi="Times New Roman" w:cs="Times New Roman"/>
          <w:sz w:val="22"/>
          <w:szCs w:val="22"/>
        </w:rPr>
        <w:t xml:space="preserve"> </w:t>
      </w:r>
      <w:r w:rsidR="00563DB5" w:rsidRPr="00FD337D">
        <w:rPr>
          <w:rFonts w:ascii="Times New Roman" w:hAnsi="Times New Roman" w:cs="Times New Roman"/>
          <w:sz w:val="22"/>
          <w:szCs w:val="22"/>
        </w:rPr>
        <w:t>Frenštát pod Radhoštěm</w:t>
      </w:r>
      <w:r w:rsidRPr="00FD337D">
        <w:rPr>
          <w:rFonts w:ascii="Times New Roman" w:hAnsi="Times New Roman" w:cs="Times New Roman"/>
          <w:sz w:val="22"/>
          <w:szCs w:val="22"/>
        </w:rPr>
        <w:t>:</w:t>
      </w:r>
    </w:p>
    <w:p w14:paraId="3812309C" w14:textId="77777777" w:rsidR="00265531" w:rsidRPr="00FD337D" w:rsidRDefault="00265531" w:rsidP="00580E07">
      <w:pPr>
        <w:pStyle w:val="Odrka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 xml:space="preserve">Odboru dopravy </w:t>
      </w:r>
      <w:r w:rsidR="004972DA" w:rsidRPr="00FD337D">
        <w:rPr>
          <w:rFonts w:ascii="Times New Roman" w:hAnsi="Times New Roman"/>
          <w:sz w:val="22"/>
          <w:szCs w:val="22"/>
        </w:rPr>
        <w:t>–</w:t>
      </w:r>
      <w:r w:rsidRPr="00FD337D">
        <w:rPr>
          <w:rFonts w:ascii="Times New Roman" w:hAnsi="Times New Roman"/>
          <w:sz w:val="22"/>
          <w:szCs w:val="22"/>
        </w:rPr>
        <w:t xml:space="preserve"> Oddělení evidence řidičů a správního řízení, Oddělení evidence vozidel a schvalování technické způsobilosti vozidel.</w:t>
      </w:r>
    </w:p>
    <w:p w14:paraId="1E99D09F" w14:textId="77777777" w:rsidR="00265531" w:rsidRPr="00FD337D" w:rsidRDefault="00265531" w:rsidP="00580E07">
      <w:pPr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  <w:u w:val="single"/>
        </w:rPr>
        <w:t>Vyvolávání klientů k příslušnému pracovníkovi daného odboru</w:t>
      </w:r>
      <w:r w:rsidRPr="00FD337D">
        <w:rPr>
          <w:rFonts w:ascii="Times New Roman" w:hAnsi="Times New Roman" w:cs="Times New Roman"/>
          <w:sz w:val="22"/>
          <w:szCs w:val="22"/>
        </w:rPr>
        <w:t>: vyvolání je možné na základě předchozího objednání na určitý čas (přes internet) nebo si klient po příchodu vyzvedne lístek s pořadovým číslem a poté sleduje, kdy je jeho číslo vyhlášeno na displeji či obrazovce monitoru. Součástí tohoto vyhlášení bude i označení pracoviště, kde bude odbaven.</w:t>
      </w:r>
    </w:p>
    <w:p w14:paraId="0DE52BC5" w14:textId="77777777" w:rsidR="00265531" w:rsidRPr="00FD337D" w:rsidRDefault="00265531" w:rsidP="00580E07">
      <w:pPr>
        <w:pStyle w:val="Odrka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>Možnosti objednání:</w:t>
      </w:r>
    </w:p>
    <w:p w14:paraId="2BCCED66" w14:textId="77777777" w:rsidR="00265531" w:rsidRPr="00FD337D" w:rsidRDefault="00265531" w:rsidP="00580E07">
      <w:pPr>
        <w:pStyle w:val="OdrkaII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 xml:space="preserve">Přímé objednání na odboru </w:t>
      </w:r>
      <w:proofErr w:type="spellStart"/>
      <w:r w:rsidRPr="00FD337D">
        <w:rPr>
          <w:rFonts w:ascii="Times New Roman" w:hAnsi="Times New Roman"/>
          <w:sz w:val="22"/>
          <w:szCs w:val="22"/>
        </w:rPr>
        <w:t>MěÚ</w:t>
      </w:r>
      <w:proofErr w:type="spellEnd"/>
      <w:r w:rsidRPr="00FD337D">
        <w:rPr>
          <w:rFonts w:ascii="Times New Roman" w:hAnsi="Times New Roman"/>
          <w:sz w:val="22"/>
          <w:szCs w:val="22"/>
        </w:rPr>
        <w:t xml:space="preserve"> u kiosku</w:t>
      </w:r>
      <w:r w:rsidR="00EE7D3F" w:rsidRPr="00FD337D">
        <w:rPr>
          <w:rFonts w:ascii="Times New Roman" w:hAnsi="Times New Roman"/>
          <w:sz w:val="22"/>
          <w:szCs w:val="22"/>
        </w:rPr>
        <w:t>, tj. vyzvednutí lístků s pořadovým číslem v kiosku pro okamžité odbavení</w:t>
      </w:r>
      <w:r w:rsidRPr="00FD337D">
        <w:rPr>
          <w:rFonts w:ascii="Times New Roman" w:hAnsi="Times New Roman"/>
          <w:sz w:val="22"/>
          <w:szCs w:val="22"/>
        </w:rPr>
        <w:t>.</w:t>
      </w:r>
    </w:p>
    <w:p w14:paraId="6FBC2ACF" w14:textId="77777777" w:rsidR="00265531" w:rsidRPr="00FD337D" w:rsidRDefault="00265531" w:rsidP="00580E07">
      <w:pPr>
        <w:pStyle w:val="OdrkaII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>Objednání přes internet.</w:t>
      </w:r>
    </w:p>
    <w:p w14:paraId="3D72A095" w14:textId="77777777" w:rsidR="00265531" w:rsidRPr="00FD337D" w:rsidRDefault="00265531" w:rsidP="00580E07">
      <w:pPr>
        <w:pStyle w:val="Odrka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>Požadované hardwarové prvky:</w:t>
      </w:r>
    </w:p>
    <w:p w14:paraId="71875B74" w14:textId="77777777" w:rsidR="00265531" w:rsidRPr="00FD337D" w:rsidRDefault="00265531" w:rsidP="00580E07">
      <w:pPr>
        <w:pStyle w:val="OdrkaII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>tiskárny lístků (kiosek) − dotykové,</w:t>
      </w:r>
    </w:p>
    <w:p w14:paraId="70CC5D7C" w14:textId="01FB1F45" w:rsidR="00265531" w:rsidRPr="00FD337D" w:rsidRDefault="00265531" w:rsidP="00580E07">
      <w:pPr>
        <w:pStyle w:val="OdrkaII"/>
        <w:rPr>
          <w:rFonts w:ascii="Times New Roman" w:hAnsi="Times New Roman"/>
          <w:sz w:val="22"/>
          <w:szCs w:val="22"/>
        </w:rPr>
      </w:pPr>
      <w:r w:rsidRPr="00FD337D">
        <w:rPr>
          <w:rFonts w:ascii="Times New Roman" w:hAnsi="Times New Roman"/>
          <w:sz w:val="22"/>
          <w:szCs w:val="22"/>
        </w:rPr>
        <w:t>displeje</w:t>
      </w:r>
      <w:r w:rsidR="004972DA" w:rsidRPr="00FD337D">
        <w:rPr>
          <w:rFonts w:ascii="Times New Roman" w:hAnsi="Times New Roman"/>
          <w:sz w:val="22"/>
          <w:szCs w:val="22"/>
        </w:rPr>
        <w:t xml:space="preserve"> – </w:t>
      </w:r>
      <w:proofErr w:type="gramStart"/>
      <w:r w:rsidRPr="00FD337D">
        <w:rPr>
          <w:rFonts w:ascii="Times New Roman" w:hAnsi="Times New Roman"/>
          <w:sz w:val="22"/>
          <w:szCs w:val="22"/>
        </w:rPr>
        <w:t>přepážkové</w:t>
      </w:r>
      <w:r w:rsidR="002B4018" w:rsidRPr="00FD337D">
        <w:rPr>
          <w:rFonts w:ascii="Times New Roman" w:hAnsi="Times New Roman"/>
          <w:sz w:val="22"/>
          <w:szCs w:val="22"/>
        </w:rPr>
        <w:t xml:space="preserve"> </w:t>
      </w:r>
      <w:r w:rsidR="0080030D">
        <w:rPr>
          <w:rFonts w:ascii="Times New Roman" w:hAnsi="Times New Roman"/>
          <w:sz w:val="22"/>
          <w:szCs w:val="22"/>
        </w:rPr>
        <w:t xml:space="preserve"> -</w:t>
      </w:r>
      <w:proofErr w:type="gramEnd"/>
      <w:r w:rsidR="0080030D">
        <w:rPr>
          <w:rFonts w:ascii="Times New Roman" w:hAnsi="Times New Roman"/>
          <w:sz w:val="22"/>
          <w:szCs w:val="22"/>
        </w:rPr>
        <w:t xml:space="preserve"> možnost využití současných dle přiložené dokumentace</w:t>
      </w:r>
    </w:p>
    <w:p w14:paraId="77D1A5C1" w14:textId="000FD84A" w:rsidR="00265531" w:rsidRPr="00A707DE" w:rsidRDefault="00265531" w:rsidP="00C604B2">
      <w:pPr>
        <w:pStyle w:val="OdrkaII"/>
        <w:rPr>
          <w:rFonts w:ascii="Times New Roman" w:hAnsi="Times New Roman"/>
          <w:sz w:val="22"/>
          <w:szCs w:val="22"/>
        </w:rPr>
      </w:pPr>
      <w:r w:rsidRPr="00A707DE">
        <w:rPr>
          <w:rFonts w:ascii="Times New Roman" w:hAnsi="Times New Roman"/>
          <w:sz w:val="22"/>
          <w:szCs w:val="22"/>
        </w:rPr>
        <w:t xml:space="preserve">displeje </w:t>
      </w:r>
      <w:r w:rsidR="004972DA" w:rsidRPr="00A707DE">
        <w:rPr>
          <w:rFonts w:ascii="Times New Roman" w:hAnsi="Times New Roman"/>
          <w:sz w:val="22"/>
          <w:szCs w:val="22"/>
        </w:rPr>
        <w:t>–</w:t>
      </w:r>
      <w:r w:rsidRPr="00A707DE">
        <w:rPr>
          <w:rFonts w:ascii="Times New Roman" w:hAnsi="Times New Roman"/>
          <w:sz w:val="22"/>
          <w:szCs w:val="22"/>
        </w:rPr>
        <w:t xml:space="preserve"> halové</w:t>
      </w:r>
      <w:r w:rsidR="002B4018" w:rsidRPr="00A707DE">
        <w:rPr>
          <w:rFonts w:ascii="Times New Roman" w:hAnsi="Times New Roman"/>
          <w:sz w:val="22"/>
          <w:szCs w:val="22"/>
        </w:rPr>
        <w:t xml:space="preserve"> (LCD)</w:t>
      </w:r>
    </w:p>
    <w:p w14:paraId="40D0E050" w14:textId="77777777" w:rsidR="00265531" w:rsidRPr="00FD337D" w:rsidRDefault="00265531" w:rsidP="00580E07">
      <w:pPr>
        <w:rPr>
          <w:rFonts w:ascii="Times New Roman" w:hAnsi="Times New Roman" w:cs="Times New Roman"/>
          <w:sz w:val="22"/>
          <w:szCs w:val="22"/>
        </w:rPr>
        <w:sectPr w:rsidR="00265531" w:rsidRPr="00FD337D" w:rsidSect="006D4C77">
          <w:headerReference w:type="default" r:id="rId11"/>
          <w:footerReference w:type="even" r:id="rId12"/>
          <w:footerReference w:type="default" r:id="rId13"/>
          <w:pgSz w:w="11906" w:h="16838"/>
          <w:pgMar w:top="1393" w:right="1418" w:bottom="1134" w:left="1134" w:header="426" w:footer="510" w:gutter="0"/>
          <w:cols w:space="708"/>
          <w:docGrid w:linePitch="360"/>
        </w:sectPr>
      </w:pPr>
    </w:p>
    <w:p w14:paraId="283A3900" w14:textId="77777777" w:rsidR="006F7406" w:rsidRPr="00FD337D" w:rsidRDefault="00265531" w:rsidP="00580E07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lastRenderedPageBreak/>
        <w:t xml:space="preserve">POŽADAVKY NA </w:t>
      </w:r>
      <w:r w:rsidR="006F7406" w:rsidRPr="00FD337D">
        <w:rPr>
          <w:rFonts w:ascii="Times New Roman" w:hAnsi="Times New Roman" w:cs="Times New Roman"/>
          <w:sz w:val="22"/>
          <w:szCs w:val="22"/>
        </w:rPr>
        <w:t>ŘEŠENÍ DODÁVKY</w:t>
      </w:r>
    </w:p>
    <w:p w14:paraId="5CA989F8" w14:textId="77777777" w:rsidR="00D12F4E" w:rsidRPr="00FD337D" w:rsidRDefault="00265531" w:rsidP="00580E0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Funkční požadavky</w:t>
      </w:r>
    </w:p>
    <w:p w14:paraId="6F1EC82E" w14:textId="77777777" w:rsidR="00D12F4E" w:rsidRPr="00FD337D" w:rsidRDefault="00265531" w:rsidP="00580E07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Povinné funkční požadavky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8363"/>
        <w:gridCol w:w="1134"/>
      </w:tblGrid>
      <w:tr w:rsidR="00E44EF7" w:rsidRPr="00FD337D" w14:paraId="1272560B" w14:textId="77777777" w:rsidTr="00E44EF7">
        <w:trPr>
          <w:trHeight w:val="288"/>
        </w:trPr>
        <w:tc>
          <w:tcPr>
            <w:tcW w:w="562" w:type="dxa"/>
            <w:shd w:val="clear" w:color="000000" w:fill="D9D9D9"/>
            <w:vAlign w:val="center"/>
            <w:hideMark/>
          </w:tcPr>
          <w:p w14:paraId="0AF28BCB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14:paraId="15E9A09F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Název požadavku</w:t>
            </w:r>
          </w:p>
        </w:tc>
        <w:tc>
          <w:tcPr>
            <w:tcW w:w="8363" w:type="dxa"/>
            <w:shd w:val="clear" w:color="000000" w:fill="D9D9D9"/>
            <w:vAlign w:val="center"/>
            <w:hideMark/>
          </w:tcPr>
          <w:p w14:paraId="3EC3BE3E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Popis požadavku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7666192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Splňuje</w:t>
            </w:r>
          </w:p>
          <w:p w14:paraId="45DEE134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ANO / NE</w:t>
            </w:r>
          </w:p>
        </w:tc>
      </w:tr>
      <w:tr w:rsidR="00E44EF7" w:rsidRPr="00FD337D" w14:paraId="3ACEFDB9" w14:textId="77777777" w:rsidTr="00E44EF7">
        <w:trPr>
          <w:trHeight w:val="23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5BA8C8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266D0C2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Počet přepážek pro odbavení návštěvníků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5D635C9F" w14:textId="756C8D9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Nastavení odbavovacích míst 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D4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počet přepážek</w:t>
            </w:r>
            <w:r w:rsidR="00FD4E90">
              <w:rPr>
                <w:rFonts w:ascii="Times New Roman" w:hAnsi="Times New Roman" w:cs="Times New Roman"/>
                <w:sz w:val="22"/>
                <w:szCs w:val="22"/>
              </w:rPr>
              <w:t xml:space="preserve"> 6 ks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E517CD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510FA494" w14:textId="77777777" w:rsidTr="00E44EF7">
        <w:trPr>
          <w:trHeight w:val="40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E86B6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C6D86BE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Nastavení účtů a oprávnění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50D6FA91" w14:textId="00F46E1D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Nastavení uživatelských účtů, rolí a různé sady jejich oprávnění pro přístup k aplikačním funkcionalitám, statistikám, informacím z provozního monitoringu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(zadavatel předpokládá pro </w:t>
            </w:r>
            <w:r w:rsidR="00FD4E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unikátní uživatel</w:t>
            </w:r>
            <w:r w:rsidR="00FD4E9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2577AD2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0732B4FF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2996E2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68E4321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Ověřování uživatelských účtů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0AB2197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Ověřování uživatelů pracujících s VS na stávající AD/LDAP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87A0DA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6AA7E547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566065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FBCE0A6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Ověřování uživatelských účtů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3C0337F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Zajištění Single Sign On při přihlašování uživatelů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286DBB7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683934EF" w14:textId="77777777" w:rsidTr="00E44EF7">
        <w:trPr>
          <w:trHeight w:val="40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13C0E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EDCAEF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Ovládání chodu VS 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změny priorit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73313163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Ovládání chodu VS online 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vedoucí je schopen za běhu VS změnit prioritu nebo frontu obsluhovaných požadavků pro konkrétní přepážku/y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40A65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01211ABC" w14:textId="77777777" w:rsidTr="00E44EF7">
        <w:trPr>
          <w:trHeight w:val="38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B0A7E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52695D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Upozornění na příchod klienta do fronty 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044F7795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Upozornění na příchod klienta (prvního, každého) do fronty – přehrání zvuku, blikání ikony, dialogové okno.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AB491F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513B515A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0B4422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141C224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Vyvolání klienta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2C1B2C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Vyvolání klienta v automatickém režimu – stiskem jednoho tlačítka dojde k vyvolání klienta, který je první ve frontě odbavovaných služeb.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BF42BA6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6D86B362" w14:textId="77777777" w:rsidTr="00E44EF7">
        <w:trPr>
          <w:trHeight w:val="3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0652DC" w14:textId="4031433D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DA5800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Přeposlání klienta na přepážku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512DC95D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Přeposlání klienta na přepážku – možnost přeposlat vyvolaného klienta na jinou konkrétní přepážku.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92C46F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3F717124" w14:textId="77777777" w:rsidTr="00E44EF7">
        <w:trPr>
          <w:trHeight w:val="1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9CA75E" w14:textId="1C04C2EF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BCDA93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fronty klientů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6BE1D502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fronty klientů – u každého klienta zobrazeno pořadové číslo, požadovaná služba, čas čekání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1B59DBE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4A932A39" w14:textId="77777777" w:rsidTr="00E44EF7">
        <w:trPr>
          <w:trHeight w:val="74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AB0CE5" w14:textId="25754A7E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91A9711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Výběr a vytištění lístku na požadovanou aktivní službu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7C2233E6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Vytištění pořadového lístku s pořadovým číslem a požadovanou službou na kiosku, případně dalšími informacemi (datum a čas, hlavička úřadu atd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Po stisku aktivního tlačítka konkrétní služby dojde k vytištění pořadového lístku.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2DFEC2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397ECC19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C7AD12" w14:textId="6A15DDC2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9472F48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Přednostní odbavení objednaného klienta (např. zadání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PINu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AEDA94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Zadání pinu pro přednostní odbavení objednaných klientů z internetu (webová rezervace).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A841DF9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7675F322" w14:textId="77777777" w:rsidTr="00E44EF7">
        <w:trPr>
          <w:trHeight w:val="14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68B1A0" w14:textId="7985B78F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B731918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Vzhled lístku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6996A2FB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úpravy rozvržení a obsahu tištěného lístku (čas, číslo lístku, logo, pořadí klientů ve frontě atd.)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F75B49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7CA05508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FD439C" w14:textId="3BE9A6F8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0176CA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vyvolávaných čísel na LCD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DAFDFE4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Možnost integrace s Digital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Signage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zobrazení vyvolaných čísel a přepážek na LCD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2D0185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09E6BB45" w14:textId="77777777" w:rsidTr="00E44EF7">
        <w:trPr>
          <w:trHeight w:val="18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EB0EB7" w14:textId="4DAC658A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DA0513B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Úprava formátování zobrazení vyvolaných čísel klientů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A591A9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Volitelné nastavení barvy, velikosti a fontu čísel přepážek i čísel klientů při zobrazení na LCD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5E5B7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1543D6B7" w14:textId="77777777" w:rsidTr="00E44EF7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AB08E6" w14:textId="0CB5ACE2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38160A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Přehrání zvuku při vyvolání klienta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565E5AD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Nastavení přehrávání zvuku při vyvolání klienta.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28CCC2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74756BFF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90F2B6" w14:textId="7FB5047A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1BC195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Monitorování stavu služeb (front)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08258324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Monitorování stavu služeb (front) – informace o čekajících a odbavených klientech, průměrné doby čekání atp.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224AFB5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53AAE54E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DF9746" w14:textId="450E7D8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EBB0B3C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Manuální zablokování služby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38AAB61E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manuálního zablokování služby (výdeje lístků), např. při kalamitních situaci.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197505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641CED26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2BCCC8" w14:textId="3E1E9378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15C00A1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Monitorování stavu přepážek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5190F083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Monitorování stavu přepážek – informace o otevření/uzavření přepážky, aktuálním odbavovaném klientu, nastavených prioritách, průměrné doby odbavení atp.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067AB21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7D12053D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C2B4AE" w14:textId="5C9914C3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C9A43EF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Přehled objednaných klientů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452D280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Obsluha musí mít přehled objednaných klientů na daný den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656649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24271DE5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5FE5C7" w14:textId="2D179D45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4FEDD6E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Objednání klientů přes internet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081B281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Objednání klienta, zrušení objednaného klienta, blokování intervalů pro objednání, odeslání SMS s objednáním, možnost tisku a exportu objednaných klientů atp.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A9EE48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2BBDE137" w14:textId="77777777" w:rsidTr="00E44EF7">
        <w:trPr>
          <w:trHeight w:val="5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BB29696" w14:textId="6F1110D3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D47BB6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Automatické generování reportů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3ED4020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automatického generování reportů ze statistik s určitou periodou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C1E011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7D32F59D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75CA2E" w14:textId="57D2F04E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7DA2052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Hardware monitoring kiosků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0616F34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Přehled stavu jednotlivých komponent systému a záznam chybových událostí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7FF6FC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72FF9423" w14:textId="77777777" w:rsidTr="00E44EF7">
        <w:trPr>
          <w:trHeight w:val="11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058099" w14:textId="06B862D9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19232B1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statistických dat v přehledech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5393CC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Zobrazení statistických dat o provozu celého vyvolávacího systému s možností jejich filtrování, tisku a exportu do </w:t>
            </w:r>
            <w:r w:rsidR="00201641" w:rsidRPr="00FD337D">
              <w:rPr>
                <w:rFonts w:ascii="Times New Roman" w:hAnsi="Times New Roman" w:cs="Times New Roman"/>
                <w:sz w:val="22"/>
                <w:szCs w:val="22"/>
              </w:rPr>
              <w:t>CSV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, HTML </w:t>
            </w:r>
            <w:r w:rsidR="00193DD8" w:rsidRPr="00FD337D">
              <w:rPr>
                <w:rFonts w:ascii="Times New Roman" w:hAnsi="Times New Roman" w:cs="Times New Roman"/>
                <w:sz w:val="22"/>
                <w:szCs w:val="22"/>
              </w:rPr>
              <w:t>č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i PDF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FDE020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66FB32A3" w14:textId="77777777" w:rsidTr="00E44EF7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2ED799" w14:textId="2CF9B8F9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F11E08C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Webové objednání na zvolenou službu a termín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BE03E24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Objednání na zvolenou službu a termín. Kromě možnosti objednání na určený termín je možné také zobrazovat aktuální počet čekajících klientů v jednotlivých službách.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4BCB867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40EF9C0D" w14:textId="77777777" w:rsidTr="00E44EF7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DA197E" w14:textId="5BB2C068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510F614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Automatické blokování webového objednávání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66BD280B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Automatické blokování objednávání o státní svátky, víkendy atp.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B6127B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112C7054" w14:textId="77777777" w:rsidTr="00E44EF7">
        <w:trPr>
          <w:trHeight w:val="20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426E60" w14:textId="3FE67460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6912693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Manuální zablokování intervalů pro webové objednávání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6981BD1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ručního zablokování intervalů – například z důvodu mimořádného uzavření atd.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1407745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15AACE3F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2C1AC2" w14:textId="7FD2B4A9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D0B4DAF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Zaslání e</w:t>
            </w:r>
            <w:r w:rsidR="00193DD8" w:rsidRPr="00FD33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mailu s o potvrzení objednané schůzky včetně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PINu</w:t>
            </w:r>
            <w:proofErr w:type="spellEnd"/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5AFF7CE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Potvrzení objednávky emailem na klienta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AC293BE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31664086" w14:textId="77777777" w:rsidTr="00E44EF7">
        <w:trPr>
          <w:trHeight w:val="5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4B701DB" w14:textId="0F58C561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BCF068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Samostatná číselná řada pro klienty objednané přes web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03A25F6" w14:textId="273D8565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Samostatná číselná řada pro klienty objednané přes web</w:t>
            </w:r>
            <w:r w:rsidR="00AC5A23">
              <w:rPr>
                <w:rFonts w:ascii="Times New Roman" w:hAnsi="Times New Roman" w:cs="Times New Roman"/>
                <w:sz w:val="22"/>
                <w:szCs w:val="22"/>
              </w:rPr>
              <w:t xml:space="preserve"> + číselná řada pro jednotlivé agendy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71CF1BB1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755982FE" w14:textId="77777777" w:rsidTr="00E44EF7">
        <w:trPr>
          <w:trHeight w:val="40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C62BD2" w14:textId="15767E0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F8BFAA4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Nastavení časového intervalu pro propadnutí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PINu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klienta objednaného přes web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81B603D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Nastavení počtu minut před skončením intervalu pro propadnutí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PINu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– například pro klienta je vyčleněn 30min interval, klient se zpožděním si bude moci vzít lístek do 15 minuty intervalu, pak už PIN propadne.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7C4E5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0BFD6A14" w14:textId="77777777" w:rsidTr="00E44EF7">
        <w:trPr>
          <w:trHeight w:val="27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034995" w14:textId="064DBA2E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472A7D9E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Zasílání SMS zpráv s rezervačním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PINem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klientům objednaných přes web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442201D8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Aplikace zajišťující zasílání SMS zpráv s rezervačním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PINem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z modulu webového objednávání.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7ADA77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34BF7257" w14:textId="77777777" w:rsidTr="00E44EF7">
        <w:trPr>
          <w:trHeight w:val="13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3DB3472" w14:textId="657CFAE6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B77AF36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Stornování požadavku Zákazníkem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989947E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zrušení webové schůzky klientem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E12728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0306AFB3" w14:textId="77777777" w:rsidTr="00E44EF7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A27F24" w14:textId="4398CC2F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8F462E3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Přijímat online rezervace z jiných aplikací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5282A45C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přijímání online rezervací z jiných aplikací zadavatele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8E84E09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8F2664" w14:textId="77777777" w:rsidR="00201641" w:rsidRPr="00FD337D" w:rsidRDefault="00201641" w:rsidP="00580E07">
      <w:pPr>
        <w:rPr>
          <w:rFonts w:ascii="Times New Roman" w:hAnsi="Times New Roman" w:cs="Times New Roman"/>
          <w:sz w:val="22"/>
          <w:szCs w:val="22"/>
        </w:rPr>
      </w:pPr>
    </w:p>
    <w:p w14:paraId="38C0A54B" w14:textId="77777777" w:rsidR="00E44EF7" w:rsidRPr="00FD337D" w:rsidRDefault="00E44EF7" w:rsidP="00580E07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Volitelné funkční požadavky (hodnocený parametr)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8363"/>
        <w:gridCol w:w="1134"/>
      </w:tblGrid>
      <w:tr w:rsidR="00E44EF7" w:rsidRPr="00FD337D" w14:paraId="2FC352F9" w14:textId="77777777" w:rsidTr="00E44EF7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20C5B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0DE4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Název požadavku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CB7EB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Popis požadavku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86FBC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Splňuje</w:t>
            </w:r>
          </w:p>
          <w:p w14:paraId="1163767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ANO / NE</w:t>
            </w:r>
          </w:p>
        </w:tc>
      </w:tr>
      <w:tr w:rsidR="00580E07" w:rsidRPr="00FD337D" w14:paraId="45E698C2" w14:textId="77777777" w:rsidTr="00580E07">
        <w:trPr>
          <w:trHeight w:val="1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52DB58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CB5A45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doplňujících informací klientovi po vyvolání lístku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6F6EBB0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poskytnutí doplňujících informací klientovi – textem, obrázkem na kiosku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09ED70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09177066" w14:textId="77777777" w:rsidTr="00E44EF7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37B9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879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Obsluha VS pomocí mobilní aplikace pro pracovníky zadavatele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F27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Obsluha VS pomocí mobilní aplikace pro pracovníky zadavatele 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přehled o frontách, notifikace o příchodu klientů na mobilu, vyvolání klienta z mobilního telefonu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5DB2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EF7" w:rsidRPr="00FD337D" w14:paraId="585E0782" w14:textId="77777777" w:rsidTr="00E44EF7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0C2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C2A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Obsluha VS pomocí aplikace na tabletu pro pracovníky </w:t>
            </w:r>
            <w:proofErr w:type="gram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zadavatele - režim</w:t>
            </w:r>
            <w:proofErr w:type="gram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meeter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greeter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A22" w14:textId="77777777" w:rsidR="00E44EF7" w:rsidRPr="00FD337D" w:rsidRDefault="00E44EF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Zařazení klienta do fronty, přímá obsluha z aplikace, přehled o frontách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7102" w14:textId="77777777" w:rsidR="00E44EF7" w:rsidRPr="00FD337D" w:rsidRDefault="00E44EF7" w:rsidP="00201641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52DF65" w14:textId="77777777" w:rsidR="00E44EF7" w:rsidRPr="00FD337D" w:rsidRDefault="00E44EF7" w:rsidP="00580E07">
      <w:pPr>
        <w:rPr>
          <w:rFonts w:ascii="Times New Roman" w:hAnsi="Times New Roman" w:cs="Times New Roman"/>
          <w:sz w:val="22"/>
          <w:szCs w:val="22"/>
        </w:rPr>
      </w:pPr>
    </w:p>
    <w:p w14:paraId="4850DF03" w14:textId="77777777" w:rsidR="00E44EF7" w:rsidRPr="00FD337D" w:rsidRDefault="00E44EF7" w:rsidP="00580E07">
      <w:pPr>
        <w:rPr>
          <w:rFonts w:ascii="Times New Roman" w:hAnsi="Times New Roman" w:cs="Times New Roman"/>
          <w:sz w:val="22"/>
          <w:szCs w:val="22"/>
        </w:rPr>
      </w:pPr>
    </w:p>
    <w:p w14:paraId="61884E34" w14:textId="77777777" w:rsidR="00E44EF7" w:rsidRPr="00FD337D" w:rsidRDefault="00E44EF7" w:rsidP="00580E0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Nefunkční požadavky</w:t>
      </w:r>
    </w:p>
    <w:p w14:paraId="452D121B" w14:textId="77777777" w:rsidR="00E44EF7" w:rsidRPr="00FD337D" w:rsidRDefault="00E44EF7" w:rsidP="00580E07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Povinné nefunkční požadavky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8363"/>
        <w:gridCol w:w="1134"/>
      </w:tblGrid>
      <w:tr w:rsidR="00580E07" w:rsidRPr="00FD337D" w14:paraId="32F35ECB" w14:textId="77777777" w:rsidTr="00580E07">
        <w:trPr>
          <w:trHeight w:val="288"/>
        </w:trPr>
        <w:tc>
          <w:tcPr>
            <w:tcW w:w="562" w:type="dxa"/>
            <w:shd w:val="clear" w:color="000000" w:fill="D9D9D9"/>
            <w:vAlign w:val="center"/>
            <w:hideMark/>
          </w:tcPr>
          <w:p w14:paraId="6D1C8141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14:paraId="79978695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Název požadavku</w:t>
            </w:r>
          </w:p>
        </w:tc>
        <w:tc>
          <w:tcPr>
            <w:tcW w:w="8363" w:type="dxa"/>
            <w:shd w:val="clear" w:color="000000" w:fill="D9D9D9"/>
            <w:vAlign w:val="center"/>
            <w:hideMark/>
          </w:tcPr>
          <w:p w14:paraId="4512F897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Popis požadavku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03D79971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Splňuje</w:t>
            </w:r>
          </w:p>
          <w:p w14:paraId="01263CB3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ANO / NE</w:t>
            </w:r>
          </w:p>
        </w:tc>
      </w:tr>
      <w:tr w:rsidR="00580E07" w:rsidRPr="00FD337D" w14:paraId="60CC3B28" w14:textId="77777777" w:rsidTr="00580E07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885B54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01 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32472BB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Bezzásahový provoz VS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8523D90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Při běžném provozu není třeba do chodu </w:t>
            </w:r>
            <w:proofErr w:type="gram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VS</w:t>
            </w:r>
            <w:proofErr w:type="gram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jakkoliv uživatelsky zasahovat.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1077AF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0B793A30" w14:textId="77777777" w:rsidTr="00580E07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064B6B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A881234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Odolnost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12F0F90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Řešení je odolné / zabezpečené proti aktivitám uživatelů - např. uživatel není schopen v kiosku realizovat/spustit/vyvolat jiné operace, než jsou mu zobrazeny v nabídnutém menu (full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screen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mode).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74C368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7941B7BB" w14:textId="77777777" w:rsidTr="00580E07">
        <w:trPr>
          <w:trHeight w:val="5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B9E8E7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B28B8DD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Variabilita a jednoduchost konfigurace vzhledu systému za provozu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5448D30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Možnost customizace vzhledu obrazovek na kiosku v souladu s grafickým manuálem zadavatele (barvy, logo atp.).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D54842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5ED2C84F" w14:textId="77777777" w:rsidTr="00580E07">
        <w:trPr>
          <w:trHeight w:val="5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328421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203E84A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Centrální konfigurace systému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AF333D9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Jednoduše uživatelsky konfigurovatelné chování systému. Kompletně centrální konfigurace jednotlivých částí VS pro všechny odbory zadavatele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190B49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531551A1" w14:textId="77777777" w:rsidTr="00580E07">
        <w:trPr>
          <w:trHeight w:val="5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AFD003" w14:textId="7BFB157C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ACBEACA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Webové rozhraní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2BFB3036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Prezentační vrstva přes webového klienta (IE11+) bez nutnosti instalace speciálního klienta na PC obsluhy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E753F96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70BBB4DA" w14:textId="77777777" w:rsidTr="00580E07">
        <w:trPr>
          <w:trHeight w:val="15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76F5C3" w14:textId="078004EE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003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8BF0A63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API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03FE5BE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Systém má k dispozici zdokumentované API pro případnou komunikaci a výměnu dat s ostatními aplikacemi zadavatele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0192C0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1619D379" w14:textId="77777777" w:rsidTr="00580E07">
        <w:trPr>
          <w:trHeight w:val="52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6B0E7FF" w14:textId="20621F0F" w:rsidR="00580E07" w:rsidRPr="00FD337D" w:rsidRDefault="0080030D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BC0EF2F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Ochrana dat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63A4DE33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Zadavatel je vlastníkem dat získaných v souvislosti s během VS v průběhu jejich celého životního cyklu (od pořízení po likvidaci). Data nesmí být přístupná jakékoliv jiné organizaci.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6ED3BBE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14A8259E" w14:textId="77777777" w:rsidTr="00580E07">
        <w:trPr>
          <w:trHeight w:val="28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77D28E90" w14:textId="7E45EFBA" w:rsidR="00580E07" w:rsidRPr="00FD337D" w:rsidRDefault="0080030D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3B420B3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Integrace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0574C92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Řešení musí být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integrovatelné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s ostatním aplikacemi přes webové služby a API.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02132D8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4AFD14C6" w14:textId="77777777" w:rsidTr="00580E07">
        <w:trPr>
          <w:trHeight w:val="34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B7EB21" w14:textId="6A2CFB0E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7C412D5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Aplikační monitoring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8134A1B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Technická specifikace systému obsahuje dokumentaci provozního monitoringu chodu aplikace.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EB9DD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18D22AE9" w14:textId="77777777" w:rsidTr="00580E07">
        <w:trPr>
          <w:trHeight w:val="105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12C053" w14:textId="00F91DF4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C692C88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Logování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19DE4B54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Chování systému a činnosti přihlášených uživatelů jsou logovány v systémových a aplikačních lozích. Logované informace jsou popsány v technické specifikaci řešení (přihlášení, odhlášení uživatele, operace realizované uživatelem, pokus o neautorizovaný přístup k systémů nebo jeho komponentám atd.).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FC9AF8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49E2FDBC" w14:textId="77777777" w:rsidTr="00580E07">
        <w:trPr>
          <w:trHeight w:val="28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C323CC2" w14:textId="1B4C7DE1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E518F2D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Garance podpory v ČJ.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9EEB41A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Dodavatel garantuje podporu v českém jazyce.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7FFB92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71F8F882" w14:textId="77777777" w:rsidTr="00580E07">
        <w:trPr>
          <w:trHeight w:val="28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42CEC24" w14:textId="0A11094F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A6BE88F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Lokalizace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48C59ABA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Lokalizace uživatelské části řešení do českého jazyka.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CDB72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4C53F80C" w14:textId="77777777" w:rsidTr="00580E07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629825" w14:textId="4BC368E5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C73CCA3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Dokumentace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17E532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Dokumentace řešení obsahuje popis všech komponent a jejich charakteristik, vč. popisu architektury, datového modelu, dokumentace dodaného řešení, administrátorské specifikace, uživatelského manuálu atp. Dokumentace je součástí dodávky.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6497D2E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35E46BDB" w14:textId="77777777" w:rsidTr="00580E07">
        <w:trPr>
          <w:trHeight w:val="52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C5FAFE3" w14:textId="60607DF9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DEB74E7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desk</w:t>
            </w:r>
            <w:proofErr w:type="spellEnd"/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CF088CD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Dodavatel má definován proces na řešení incidentů, chyb a výpadků, vč. podpůrného nástroje, který umožní jejich hlášení, správu a vyřešení v předem definovaných časových lhůtách.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2BCF3DE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0A9D5CDB" w14:textId="77777777" w:rsidTr="00580E07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0A9318" w14:textId="00C481A5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BB9ADBA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Soulad řešení s bezpečnostními standardy a principy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6D4A8046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Řešení musí být v souladu s: </w:t>
            </w:r>
          </w:p>
          <w:p w14:paraId="5E27F71D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(1) 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hardeningovými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principy dostupných zde: </w:t>
            </w:r>
            <w:hyperlink r:id="rId14" w:history="1">
              <w:r w:rsidRPr="00FD337D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https://benchmarks.cisecurity.org/</w:t>
              </w:r>
            </w:hyperlink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E3FECC6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(2) českým kybernetickým zákonem 181/2014 Sb. a </w:t>
            </w:r>
          </w:p>
          <w:p w14:paraId="356B4E95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(3) bezpečnostními standardy: ISO/IEC 27001, ISO/IEC 2733.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B27E1F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27C18773" w14:textId="77777777" w:rsidTr="00580E07">
        <w:trPr>
          <w:trHeight w:val="52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487D8C0" w14:textId="55F6923D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A92FF29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Práce s uživatelskými identitami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453B7B1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Řešení nesmí používat generické nebo sdílené uživatelské účty, vyjma technických účtů pro správce aplikace.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BAB514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06A66073" w14:textId="77777777" w:rsidTr="00580E07">
        <w:trPr>
          <w:trHeight w:val="79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6760FAF" w14:textId="1C001AD7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A447C4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Autorizace uživatelských identit, podpora LDAP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06153A3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Řešení umožní autorizovat uživatele dle přiřazené aplikační role. Přidělování rolí může být integrované s AD/LDAP. Zadavatel musí být schopen řídit přidělování uživatelských oprávnění v aplikaci.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0D280D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68C751FB" w14:textId="77777777" w:rsidTr="00580E07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2E32DB" w14:textId="7F8A3789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461CDD4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informací na více typech výstupních zařízeních.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672228C9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Zobrazení informací (vyvolaná čísla, šipky k přepážce, číslo přepážky) na více typech výstupních zařízeních </w:t>
            </w:r>
            <w:r w:rsidR="004972DA" w:rsidRPr="00FD33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LCD, LED TV, tablety, klasický halový displej (HW), displeje u/nad přepážkami atp.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83A114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14842026" w14:textId="77777777" w:rsidTr="00580E07">
        <w:trPr>
          <w:trHeight w:val="52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1A10298" w14:textId="56B320A2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8ED5716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Centrální ukládání konfiguračních i provozních dat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432C6FA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Uložení provozních i konfiguračních dat v centrální DB.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B083272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0E211DA7" w14:textId="77777777" w:rsidTr="00580E07">
        <w:trPr>
          <w:trHeight w:val="28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BD21864" w14:textId="38D11638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0E07" w:rsidRPr="00FD33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5FE6BDA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Správa za provozu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C7C5485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Administrátor může spravovat kiosek i v době provozu.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8C379B6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7F3C98F7" w14:textId="77777777" w:rsidTr="00580E07">
        <w:trPr>
          <w:trHeight w:val="28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77B3DAD" w14:textId="4B5AE286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DF9DD8E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Synchronizace síťového času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35B563E8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Synchronizace síťového času komponent VS (NTP protokol).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AC69486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DE4" w:rsidRPr="00FD337D" w14:paraId="6A22173D" w14:textId="77777777" w:rsidTr="00EE7D3F">
        <w:trPr>
          <w:trHeight w:val="28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2C53616" w14:textId="00D06BE8" w:rsidR="00865DE4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2B8DBA8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Oddělení DB, aplikačního a webového serveru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38CFAAED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DB a Aplikační server bude vždy fyzicky oddělen (s výjimkou kiosku, kde mohou být všechny funkcionality potřebné pro řízení konkrétního odboru na jednom stroji).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DD1959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07" w:rsidRPr="00FD337D" w14:paraId="1CEC1918" w14:textId="77777777" w:rsidTr="00580E07">
        <w:trPr>
          <w:trHeight w:val="28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8E269EF" w14:textId="49F53796" w:rsidR="00580E07" w:rsidRPr="00FD337D" w:rsidRDefault="006D4C7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106C971" w14:textId="77777777" w:rsidR="00580E07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Tenký klient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5C6AE92A" w14:textId="77777777" w:rsidR="00580E07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Koncový klient přistupuje k aplikaci prostřednictvím tenkého klienta.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C7FC66E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8B6ADD" w14:textId="77777777" w:rsidR="00E44EF7" w:rsidRPr="00FD337D" w:rsidRDefault="00E44EF7" w:rsidP="00580E07">
      <w:pPr>
        <w:rPr>
          <w:rFonts w:ascii="Times New Roman" w:hAnsi="Times New Roman" w:cs="Times New Roman"/>
          <w:sz w:val="22"/>
          <w:szCs w:val="22"/>
        </w:rPr>
      </w:pPr>
    </w:p>
    <w:p w14:paraId="078F5C28" w14:textId="77777777" w:rsidR="00E44EF7" w:rsidRPr="00FD337D" w:rsidRDefault="00E44EF7" w:rsidP="00580E07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Volitelné nefunkční požadavky (hodnocený parametr)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8363"/>
        <w:gridCol w:w="1134"/>
      </w:tblGrid>
      <w:tr w:rsidR="00580E07" w:rsidRPr="00FD337D" w14:paraId="1E43B7BD" w14:textId="77777777" w:rsidTr="00580E07">
        <w:trPr>
          <w:trHeight w:val="288"/>
        </w:trPr>
        <w:tc>
          <w:tcPr>
            <w:tcW w:w="562" w:type="dxa"/>
            <w:shd w:val="clear" w:color="000000" w:fill="D9D9D9"/>
            <w:vAlign w:val="center"/>
            <w:hideMark/>
          </w:tcPr>
          <w:p w14:paraId="21CF2308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14:paraId="227F9BB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Název požadavku</w:t>
            </w:r>
          </w:p>
        </w:tc>
        <w:tc>
          <w:tcPr>
            <w:tcW w:w="8363" w:type="dxa"/>
            <w:shd w:val="clear" w:color="000000" w:fill="D9D9D9"/>
            <w:vAlign w:val="center"/>
            <w:hideMark/>
          </w:tcPr>
          <w:p w14:paraId="14864D1F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Popis požadavku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7F495F39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Splňuje</w:t>
            </w:r>
          </w:p>
          <w:p w14:paraId="3CD6FA0E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ANO / NE</w:t>
            </w:r>
          </w:p>
        </w:tc>
      </w:tr>
      <w:tr w:rsidR="00580E07" w:rsidRPr="00FD337D" w14:paraId="667F50E1" w14:textId="77777777" w:rsidTr="00865DE4">
        <w:trPr>
          <w:trHeight w:val="6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ECA088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01 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ED75733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Robustnost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0639188C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Online zálohování konfigurace, provozu a zpracování front VS, které umožní při zotavení systému po případném výpadku systému pokračovat ve zpracování původní fronty požadavků před výpadkem.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76F5E3E" w14:textId="77777777" w:rsidR="00580E07" w:rsidRPr="00FD337D" w:rsidRDefault="00580E0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0B28D7" w14:textId="77777777" w:rsidR="00E44EF7" w:rsidRPr="00FD337D" w:rsidRDefault="00E44EF7" w:rsidP="00580E07">
      <w:pPr>
        <w:rPr>
          <w:rFonts w:ascii="Times New Roman" w:hAnsi="Times New Roman" w:cs="Times New Roman"/>
          <w:sz w:val="22"/>
          <w:szCs w:val="22"/>
        </w:rPr>
      </w:pPr>
    </w:p>
    <w:p w14:paraId="1E076316" w14:textId="77777777" w:rsidR="00EE5CC7" w:rsidRPr="00FD337D" w:rsidRDefault="00EE5CC7" w:rsidP="00EE5CC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Požadavky na HW</w:t>
      </w:r>
      <w:r w:rsidR="00B67C20" w:rsidRPr="00FD337D">
        <w:rPr>
          <w:rFonts w:ascii="Times New Roman" w:hAnsi="Times New Roman" w:cs="Times New Roman"/>
          <w:sz w:val="22"/>
          <w:szCs w:val="22"/>
        </w:rPr>
        <w:t xml:space="preserve"> (povinné)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8363"/>
        <w:gridCol w:w="1134"/>
      </w:tblGrid>
      <w:tr w:rsidR="00EE5CC7" w:rsidRPr="00FD337D" w14:paraId="5F7DA9CC" w14:textId="77777777" w:rsidTr="00EE7D3F">
        <w:trPr>
          <w:trHeight w:val="288"/>
        </w:trPr>
        <w:tc>
          <w:tcPr>
            <w:tcW w:w="562" w:type="dxa"/>
            <w:shd w:val="clear" w:color="000000" w:fill="D9D9D9"/>
            <w:vAlign w:val="center"/>
            <w:hideMark/>
          </w:tcPr>
          <w:p w14:paraId="1C71138B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14:paraId="39077917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Název požadavku</w:t>
            </w:r>
          </w:p>
        </w:tc>
        <w:tc>
          <w:tcPr>
            <w:tcW w:w="8363" w:type="dxa"/>
            <w:shd w:val="clear" w:color="000000" w:fill="D9D9D9"/>
            <w:vAlign w:val="center"/>
            <w:hideMark/>
          </w:tcPr>
          <w:p w14:paraId="6EBD26AB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Popis požadavku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69815A9D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Splňuje</w:t>
            </w:r>
          </w:p>
          <w:p w14:paraId="227E39D7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ANO / NE</w:t>
            </w:r>
          </w:p>
        </w:tc>
      </w:tr>
      <w:tr w:rsidR="00EE5CC7" w:rsidRPr="00FD337D" w14:paraId="2BD46A2C" w14:textId="77777777" w:rsidTr="00EE7D3F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E7D5E4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01 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4305836A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Displej přepážkový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458F4F73" w14:textId="77777777" w:rsidR="00EE5CC7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LED technologie</w:t>
            </w:r>
          </w:p>
          <w:p w14:paraId="25E7D5BB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nejméně 3 znaků (číslic)</w:t>
            </w:r>
          </w:p>
          <w:p w14:paraId="49FF3070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Rozměr min. 280 x 150 mm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F219CB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C20" w:rsidRPr="00FD337D" w14:paraId="21F352EA" w14:textId="77777777" w:rsidTr="00EE7D3F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F9E344" w14:textId="77777777" w:rsidR="00B67C20" w:rsidRPr="00FD337D" w:rsidRDefault="00B67C20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39073E8" w14:textId="77777777" w:rsidR="00B67C20" w:rsidRPr="00FD337D" w:rsidRDefault="00B67C20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Halový displej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7BB5AB4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LED technologie</w:t>
            </w:r>
          </w:p>
          <w:p w14:paraId="699399E8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Zobrazení nejméně 8 znaků (písmen / číslic / znaků)</w:t>
            </w:r>
          </w:p>
          <w:p w14:paraId="5E84567C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pohybu sdělení (</w:t>
            </w:r>
            <w:proofErr w:type="spellStart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scrolling</w:t>
            </w:r>
            <w:proofErr w:type="spellEnd"/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texu)</w:t>
            </w:r>
          </w:p>
          <w:p w14:paraId="15F6C0E5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Rozměr min. 550 x 150 mm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652CF9C" w14:textId="77777777" w:rsidR="00B67C20" w:rsidRPr="00FD337D" w:rsidRDefault="00B67C20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CC7" w:rsidRPr="00FD337D" w14:paraId="0BB0F7E6" w14:textId="77777777" w:rsidTr="00B67C20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C09A2D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7C20" w:rsidRPr="00FD33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DE7688C" w14:textId="77777777" w:rsidR="00EE5CC7" w:rsidRPr="00FD337D" w:rsidRDefault="00B67C20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Tiskárna lístků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01A27F2E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Dotyková tiskárna</w:t>
            </w:r>
          </w:p>
          <w:p w14:paraId="51F5C3A7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Podstavec pod výdejnu (1 ks)</w:t>
            </w:r>
          </w:p>
          <w:p w14:paraId="5C5FC37F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Držák na zeď (3 ks)</w:t>
            </w:r>
          </w:p>
          <w:p w14:paraId="60DBBEAB" w14:textId="77777777" w:rsidR="00B67C20" w:rsidRPr="00FD337D" w:rsidRDefault="00B67C2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Možnost zadání PIN pro objednání</w:t>
            </w:r>
          </w:p>
          <w:p w14:paraId="692E96A9" w14:textId="77777777" w:rsidR="009E4310" w:rsidRPr="00FD337D" w:rsidRDefault="009E4310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Doba tisku max. 4 sek.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B56CADB" w14:textId="77777777" w:rsidR="00EE5CC7" w:rsidRPr="00FD337D" w:rsidRDefault="00EE5CC7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22D8D8" w14:textId="77777777" w:rsidR="00EE5CC7" w:rsidRPr="00FD337D" w:rsidRDefault="00EE5CC7" w:rsidP="00EE5CC7">
      <w:pPr>
        <w:rPr>
          <w:rFonts w:ascii="Times New Roman" w:hAnsi="Times New Roman" w:cs="Times New Roman"/>
          <w:sz w:val="22"/>
          <w:szCs w:val="22"/>
        </w:rPr>
      </w:pPr>
    </w:p>
    <w:p w14:paraId="16E5A958" w14:textId="77777777" w:rsidR="00865DE4" w:rsidRPr="00FD337D" w:rsidRDefault="00865DE4" w:rsidP="00865DE4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Požadavky na dokumentaci</w:t>
      </w:r>
    </w:p>
    <w:p w14:paraId="039E4467" w14:textId="77777777" w:rsidR="00865DE4" w:rsidRPr="00FD337D" w:rsidRDefault="00865DE4" w:rsidP="00865DE4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Povinné požadavky na úroveň zpracování dokumentace</w:t>
      </w:r>
    </w:p>
    <w:p w14:paraId="69B2D611" w14:textId="77777777" w:rsidR="00865DE4" w:rsidRPr="00FD337D" w:rsidRDefault="00865DE4" w:rsidP="00865DE4">
      <w:pPr>
        <w:rPr>
          <w:rFonts w:ascii="Times New Roman" w:hAnsi="Times New Roman" w:cs="Times New Roman"/>
          <w:i/>
          <w:sz w:val="22"/>
          <w:szCs w:val="22"/>
        </w:rPr>
      </w:pPr>
      <w:r w:rsidRPr="00FD337D">
        <w:rPr>
          <w:rFonts w:ascii="Times New Roman" w:hAnsi="Times New Roman" w:cs="Times New Roman"/>
          <w:i/>
          <w:sz w:val="22"/>
          <w:szCs w:val="22"/>
        </w:rPr>
        <w:t>Pozn. zadavatele: V rámci vytvářené dokumentace budou popsané minimálně následující oblasti (oblasti mohou být sloučené do konsolidované dokumentace, dokumentace bude v ČJ).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8363"/>
        <w:gridCol w:w="1134"/>
      </w:tblGrid>
      <w:tr w:rsidR="00865DE4" w:rsidRPr="00FD337D" w14:paraId="123F3CCE" w14:textId="77777777" w:rsidTr="00EE7D3F">
        <w:trPr>
          <w:trHeight w:val="288"/>
        </w:trPr>
        <w:tc>
          <w:tcPr>
            <w:tcW w:w="562" w:type="dxa"/>
            <w:shd w:val="clear" w:color="000000" w:fill="D9D9D9"/>
            <w:vAlign w:val="center"/>
            <w:hideMark/>
          </w:tcPr>
          <w:p w14:paraId="0CCB424A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14:paraId="6CBACAE0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Název požadavku</w:t>
            </w:r>
          </w:p>
        </w:tc>
        <w:tc>
          <w:tcPr>
            <w:tcW w:w="8363" w:type="dxa"/>
            <w:shd w:val="clear" w:color="000000" w:fill="D9D9D9"/>
            <w:vAlign w:val="center"/>
            <w:hideMark/>
          </w:tcPr>
          <w:p w14:paraId="5505E3D7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Popis požadavku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5E02A1AB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Splňuje</w:t>
            </w:r>
          </w:p>
          <w:p w14:paraId="260112E9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ANO / NE</w:t>
            </w:r>
          </w:p>
        </w:tc>
      </w:tr>
      <w:tr w:rsidR="00865DE4" w:rsidRPr="00FD337D" w14:paraId="298BE820" w14:textId="77777777" w:rsidTr="00EE7D3F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0C5B3E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01 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8151A0A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Projektová dokumentace (minimálně v rozsahu)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1C94B42C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Cílový Koncept (CK), včetně autorizačního konceptu a popisu skupin dat.</w:t>
            </w:r>
          </w:p>
          <w:p w14:paraId="0FD0BADA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Datový model.</w:t>
            </w:r>
          </w:p>
          <w:p w14:paraId="559CFFE1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Případné změnové požadavky v projektu.</w:t>
            </w:r>
          </w:p>
          <w:p w14:paraId="03114DE8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Specifikace zákaznických modifikací nad standard produktu.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E677BA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DE4" w:rsidRPr="00FD337D" w14:paraId="10FD1931" w14:textId="77777777" w:rsidTr="00EE7D3F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54DE07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DD69A8C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Uživatelská dokumentace (dokumentace k produktu)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7CF3A4D4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Administrace systému.</w:t>
            </w:r>
          </w:p>
          <w:p w14:paraId="2A074D28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GUI (grafické rozhraní systému) bude lokalizováno do ČJ.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27BFFC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DE4" w:rsidRPr="00FD337D" w14:paraId="4B28C35B" w14:textId="77777777" w:rsidTr="00865DE4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</w:tcPr>
          <w:p w14:paraId="58BC1CFA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B09B28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Dokumentace skutečného provedení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14:paraId="693D1C6E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Systémová dokumentace včetně popisu dávkových úloh, systémových účtů a oprávnění.</w:t>
            </w:r>
          </w:p>
          <w:p w14:paraId="68788C10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Integrační dokumentace popisující rozhraní a způsob integrace na ostatní systémy nebo mezi význačnými komponentami řešení.</w:t>
            </w:r>
          </w:p>
          <w:p w14:paraId="73A2356D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Konfigurační manuál popisující konfiguraci prostředí, služeb a jednotlivých komponent, která je nutná pro provoz řešení.</w:t>
            </w:r>
          </w:p>
          <w:p w14:paraId="30E87ADA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Síťová vrstva, nároky na datové přenosy a šířky pásem.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1BDD888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DE4" w:rsidRPr="00FD337D" w14:paraId="620CE7D4" w14:textId="77777777" w:rsidTr="006D4C77">
        <w:trPr>
          <w:trHeight w:val="558"/>
        </w:trPr>
        <w:tc>
          <w:tcPr>
            <w:tcW w:w="562" w:type="dxa"/>
            <w:shd w:val="clear" w:color="auto" w:fill="auto"/>
            <w:noWrap/>
            <w:vAlign w:val="center"/>
          </w:tcPr>
          <w:p w14:paraId="75DB4DC0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942BAD4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Provozní dokumentace 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14:paraId="10064F6E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Manuál popisující nasazení a zprovoznění systému nebo aplikace.</w:t>
            </w:r>
          </w:p>
          <w:p w14:paraId="5D21DE8A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Popis realizace provozních úloh, zálohování, obnova ze zálohy, klon systému.</w:t>
            </w:r>
          </w:p>
          <w:p w14:paraId="77633B15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Systém havarijní obnovy, krizové scénáře</w:t>
            </w:r>
          </w:p>
          <w:p w14:paraId="34DE847F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Způsob aplikace patchů na systémové i aplikační komponenty, případná omezení.</w:t>
            </w:r>
          </w:p>
          <w:p w14:paraId="578DDD51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Doporučené provozní postupy za účelem dlouhodobého provozu řešení.</w:t>
            </w:r>
          </w:p>
          <w:p w14:paraId="78705CD1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Způsob dodavatelské podpory.</w:t>
            </w:r>
          </w:p>
          <w:p w14:paraId="09A5A974" w14:textId="77777777" w:rsidR="00865DE4" w:rsidRPr="00FD337D" w:rsidRDefault="00865DE4" w:rsidP="00201641">
            <w:pPr>
              <w:pStyle w:val="Odstavecseseznamem"/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Doporučení pro provoz a konfiguraci infrastruktury a souvisejícího SW.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626D6E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DE4" w:rsidRPr="00FD337D" w14:paraId="31E6265D" w14:textId="77777777" w:rsidTr="00865DE4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</w:tcPr>
          <w:p w14:paraId="2426AC2C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AA7ECFF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Způsob škálování systému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14:paraId="173BEAC0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Popis možného zvýšení výkonu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A981D1" w14:textId="77777777" w:rsidR="00865DE4" w:rsidRPr="00FD337D" w:rsidRDefault="00865DE4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5A85F0" w14:textId="77777777" w:rsidR="00201641" w:rsidRPr="00FD337D" w:rsidRDefault="00201641" w:rsidP="00580E07">
      <w:pPr>
        <w:rPr>
          <w:rFonts w:ascii="Times New Roman" w:hAnsi="Times New Roman" w:cs="Times New Roman"/>
          <w:sz w:val="22"/>
          <w:szCs w:val="22"/>
        </w:rPr>
      </w:pPr>
    </w:p>
    <w:p w14:paraId="5CD14551" w14:textId="77777777" w:rsidR="009F528C" w:rsidRPr="00FD337D" w:rsidRDefault="009F528C" w:rsidP="009F528C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Další požadavky na dodávku</w:t>
      </w:r>
    </w:p>
    <w:p w14:paraId="635D1B4D" w14:textId="77777777" w:rsidR="009F528C" w:rsidRPr="00FD337D" w:rsidRDefault="009F528C" w:rsidP="009F528C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Povinné požadavky na dodávku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8363"/>
        <w:gridCol w:w="1134"/>
      </w:tblGrid>
      <w:tr w:rsidR="009F528C" w:rsidRPr="00FD337D" w14:paraId="197C1BB2" w14:textId="77777777" w:rsidTr="00EE7D3F">
        <w:trPr>
          <w:trHeight w:val="288"/>
        </w:trPr>
        <w:tc>
          <w:tcPr>
            <w:tcW w:w="562" w:type="dxa"/>
            <w:shd w:val="clear" w:color="000000" w:fill="D9D9D9"/>
            <w:vAlign w:val="center"/>
            <w:hideMark/>
          </w:tcPr>
          <w:p w14:paraId="05ED41E0" w14:textId="77777777" w:rsidR="009F528C" w:rsidRPr="00FD337D" w:rsidRDefault="009F528C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14:paraId="7A04ED3D" w14:textId="77777777" w:rsidR="009F528C" w:rsidRPr="00FD337D" w:rsidRDefault="009F528C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Název požadavku</w:t>
            </w:r>
          </w:p>
        </w:tc>
        <w:tc>
          <w:tcPr>
            <w:tcW w:w="8363" w:type="dxa"/>
            <w:shd w:val="clear" w:color="000000" w:fill="D9D9D9"/>
            <w:vAlign w:val="center"/>
            <w:hideMark/>
          </w:tcPr>
          <w:p w14:paraId="2A0E2636" w14:textId="77777777" w:rsidR="009F528C" w:rsidRPr="00FD337D" w:rsidRDefault="009F528C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Popis požadavku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7BDCB291" w14:textId="77777777" w:rsidR="009F528C" w:rsidRPr="00FD337D" w:rsidRDefault="009F528C" w:rsidP="002016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Splňuje</w:t>
            </w:r>
          </w:p>
          <w:p w14:paraId="5CBB536B" w14:textId="77777777" w:rsidR="009F528C" w:rsidRPr="00FD337D" w:rsidRDefault="009F528C" w:rsidP="0020164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b/>
                <w:sz w:val="22"/>
                <w:szCs w:val="22"/>
              </w:rPr>
              <w:t>ANO / NE</w:t>
            </w:r>
          </w:p>
        </w:tc>
      </w:tr>
      <w:tr w:rsidR="00967CF1" w:rsidRPr="00FD337D" w14:paraId="4C23BBFD" w14:textId="77777777" w:rsidTr="00EE7D3F">
        <w:trPr>
          <w:trHeight w:val="7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D60016" w14:textId="5CB1FD35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17CE40E2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Implementace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5E9BDF5D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Kompletní implementace, instalace a konfigurace dodávky vč.:</w:t>
            </w:r>
          </w:p>
          <w:p w14:paraId="1CD4D4A5" w14:textId="77777777" w:rsidR="00967CF1" w:rsidRPr="00FD337D" w:rsidRDefault="00967CF1" w:rsidP="00201641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GB"/>
              </w:rPr>
              <w:t>základní konfigurace front, služeb, priorit</w:t>
            </w:r>
          </w:p>
          <w:p w14:paraId="2BEE79F6" w14:textId="77777777" w:rsidR="00967CF1" w:rsidRPr="00FD337D" w:rsidRDefault="00967CF1" w:rsidP="00201641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GB"/>
              </w:rPr>
              <w:t>nastavení layoutu a grafiky obrazovek výdejny</w:t>
            </w:r>
          </w:p>
          <w:p w14:paraId="76C998CC" w14:textId="77777777" w:rsidR="00967CF1" w:rsidRPr="00FD337D" w:rsidRDefault="00967CF1" w:rsidP="00201641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customizace pro jednotlivá pracoviště</w:t>
            </w:r>
          </w:p>
          <w:p w14:paraId="2EF7C06C" w14:textId="77777777" w:rsidR="00967CF1" w:rsidRPr="00FD337D" w:rsidRDefault="00967CF1" w:rsidP="00201641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podpora po nasazení řešení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19DC1E1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CF1" w:rsidRPr="00FD337D" w14:paraId="77F3BB02" w14:textId="77777777" w:rsidTr="00EE7D3F">
        <w:trPr>
          <w:trHeight w:val="31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EFBE71" w14:textId="7EE6393C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569AD3F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Internetové objednávání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32282C92" w14:textId="20EE5B4B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Kompletní implementace, instalace a konfigurace dodávky pro internetové objednávání (vč. nastavení zadávání PIN na kiosku) a podpory pr</w:t>
            </w:r>
            <w:r w:rsidR="00317D9C" w:rsidRPr="00FD337D">
              <w:rPr>
                <w:rFonts w:ascii="Times New Roman" w:hAnsi="Times New Roman" w:cs="Times New Roman"/>
                <w:sz w:val="22"/>
                <w:szCs w:val="22"/>
              </w:rPr>
              <w:t>o možnou</w:t>
            </w: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 xml:space="preserve"> integraci do Portálu občana / webových stránek zadavatele.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A4298FB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CF1" w:rsidRPr="00FD337D" w14:paraId="2113D6FF" w14:textId="77777777" w:rsidTr="00EE7D3F">
        <w:trPr>
          <w:trHeight w:val="31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5A3628" w14:textId="56A74368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BDC953F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Testování funkčnosti, testovací provoz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285636E7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Testování funkčnosti dodávky, testovací provoz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850B6C" w14:textId="77777777" w:rsidR="00967CF1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28C" w:rsidRPr="00FD337D" w14:paraId="451A32E0" w14:textId="77777777" w:rsidTr="00967CF1">
        <w:trPr>
          <w:trHeight w:val="31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2BC749" w14:textId="2F30B9C6" w:rsidR="009F528C" w:rsidRPr="00FD337D" w:rsidRDefault="009F528C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D4C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788FC68" w14:textId="77777777" w:rsidR="009F528C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Zaškolení administrátorů</w:t>
            </w:r>
          </w:p>
        </w:tc>
        <w:tc>
          <w:tcPr>
            <w:tcW w:w="8363" w:type="dxa"/>
            <w:shd w:val="clear" w:color="000000" w:fill="FFFFFF"/>
            <w:vAlign w:val="center"/>
            <w:hideMark/>
          </w:tcPr>
          <w:p w14:paraId="3D480729" w14:textId="77777777" w:rsidR="009F528C" w:rsidRPr="00FD337D" w:rsidRDefault="00967CF1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337D">
              <w:rPr>
                <w:rFonts w:ascii="Times New Roman" w:hAnsi="Times New Roman" w:cs="Times New Roman"/>
                <w:sz w:val="22"/>
                <w:szCs w:val="22"/>
              </w:rPr>
              <w:t>Zaškolení administrátorů zadavatele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F478085" w14:textId="77777777" w:rsidR="009F528C" w:rsidRPr="00FD337D" w:rsidRDefault="009F528C" w:rsidP="002016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1E9CEF" w14:textId="77777777" w:rsidR="00866236" w:rsidRPr="00FD337D" w:rsidRDefault="00866236" w:rsidP="00580E07">
      <w:pPr>
        <w:rPr>
          <w:rFonts w:ascii="Times New Roman" w:hAnsi="Times New Roman" w:cs="Times New Roman"/>
          <w:sz w:val="22"/>
          <w:szCs w:val="22"/>
          <w:highlight w:val="red"/>
        </w:rPr>
      </w:pPr>
    </w:p>
    <w:p w14:paraId="46774355" w14:textId="77777777" w:rsidR="00967CF1" w:rsidRPr="00FD337D" w:rsidRDefault="00967CF1" w:rsidP="00967CF1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Další požadavky na podmínky servisu dodávky</w:t>
      </w:r>
    </w:p>
    <w:p w14:paraId="685EEACB" w14:textId="77777777" w:rsidR="00967CF1" w:rsidRPr="00FD337D" w:rsidRDefault="00967CF1" w:rsidP="00967CF1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Nepovinné požadavky na dodávku</w:t>
      </w:r>
    </w:p>
    <w:p w14:paraId="1C626290" w14:textId="77777777" w:rsidR="00967CF1" w:rsidRPr="00FD337D" w:rsidRDefault="00967CF1" w:rsidP="00967CF1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FD337D">
        <w:rPr>
          <w:rFonts w:ascii="Times New Roman" w:hAnsi="Times New Roman" w:cs="Times New Roman"/>
          <w:sz w:val="22"/>
          <w:szCs w:val="22"/>
          <w:lang w:eastAsia="en-US"/>
        </w:rPr>
        <w:t>Volitelnou součástí nabídky je servisní smlouva definující podmínky a náklady pro jednotlivé položky (materiál, práce) pro:</w:t>
      </w:r>
    </w:p>
    <w:p w14:paraId="056BE89C" w14:textId="77777777" w:rsidR="00967CF1" w:rsidRPr="00FD337D" w:rsidRDefault="00967CF1" w:rsidP="00967CF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Instalaci zařízení na nových zákaznických centrech</w:t>
      </w:r>
    </w:p>
    <w:p w14:paraId="17C7684A" w14:textId="77777777" w:rsidR="00967CF1" w:rsidRPr="00FD337D" w:rsidRDefault="00967CF1" w:rsidP="00580E07">
      <w:pPr>
        <w:pStyle w:val="Odstavecseseznamem"/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FD337D">
        <w:rPr>
          <w:rFonts w:ascii="Times New Roman" w:hAnsi="Times New Roman" w:cs="Times New Roman"/>
          <w:sz w:val="22"/>
          <w:szCs w:val="22"/>
        </w:rPr>
        <w:t>Dodávku a úvodní konfigurace řešení (za nákladů definovaných v servisní smlouvě) včetně ověření, že je řešení plně funkční.</w:t>
      </w:r>
    </w:p>
    <w:sectPr w:rsidR="00967CF1" w:rsidRPr="00FD337D" w:rsidSect="00265531">
      <w:pgSz w:w="16838" w:h="11906" w:orient="landscape"/>
      <w:pgMar w:top="1843" w:right="1701" w:bottom="1418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FDC7" w14:textId="77777777" w:rsidR="00A167EE" w:rsidRDefault="00A167EE" w:rsidP="00580E07">
      <w:r>
        <w:separator/>
      </w:r>
    </w:p>
    <w:p w14:paraId="78B68CA9" w14:textId="77777777" w:rsidR="00A167EE" w:rsidRDefault="00A167EE" w:rsidP="00580E07"/>
  </w:endnote>
  <w:endnote w:type="continuationSeparator" w:id="0">
    <w:p w14:paraId="2A930100" w14:textId="77777777" w:rsidR="00A167EE" w:rsidRDefault="00A167EE" w:rsidP="00580E07">
      <w:r>
        <w:continuationSeparator/>
      </w:r>
    </w:p>
    <w:p w14:paraId="649A2E38" w14:textId="77777777" w:rsidR="00A167EE" w:rsidRDefault="00A167EE" w:rsidP="00580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07E4" w14:textId="77777777" w:rsidR="00194014" w:rsidRDefault="00194014" w:rsidP="00580E07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6F9297" w14:textId="77777777" w:rsidR="00194014" w:rsidRDefault="00194014" w:rsidP="00580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BADE" w14:textId="77777777" w:rsidR="00194014" w:rsidRPr="00865DE4" w:rsidRDefault="00194014" w:rsidP="00865DE4">
    <w:pPr>
      <w:pStyle w:val="Zhlav"/>
      <w:jc w:val="center"/>
      <w:rPr>
        <w:rFonts w:ascii="Arial" w:hAnsi="Arial"/>
      </w:rPr>
    </w:pPr>
    <w:r w:rsidRPr="00865DE4">
      <w:rPr>
        <w:rFonts w:ascii="Arial" w:hAnsi="Arial"/>
      </w:rPr>
      <w:t xml:space="preserve">- </w:t>
    </w:r>
    <w:r w:rsidRPr="00865DE4">
      <w:rPr>
        <w:rFonts w:ascii="Arial" w:hAnsi="Arial"/>
      </w:rPr>
      <w:fldChar w:fldCharType="begin"/>
    </w:r>
    <w:r w:rsidRPr="00865DE4">
      <w:rPr>
        <w:rFonts w:ascii="Arial" w:hAnsi="Arial"/>
      </w:rPr>
      <w:instrText xml:space="preserve">PAGE  </w:instrText>
    </w:r>
    <w:r w:rsidRPr="00865DE4">
      <w:rPr>
        <w:rFonts w:ascii="Arial" w:hAnsi="Arial"/>
      </w:rPr>
      <w:fldChar w:fldCharType="separate"/>
    </w:r>
    <w:r w:rsidR="00511D73">
      <w:rPr>
        <w:rFonts w:ascii="Arial" w:hAnsi="Arial"/>
        <w:noProof/>
      </w:rPr>
      <w:t>13</w:t>
    </w:r>
    <w:r w:rsidRPr="00865DE4">
      <w:rPr>
        <w:rFonts w:ascii="Arial" w:hAnsi="Arial"/>
      </w:rPr>
      <w:fldChar w:fldCharType="end"/>
    </w:r>
    <w:r w:rsidRPr="00865DE4">
      <w:rPr>
        <w:rFonts w:ascii="Arial" w:hAnsi="Arial"/>
      </w:rPr>
      <w:t xml:space="preserve"> / </w:t>
    </w:r>
    <w:r w:rsidRPr="00865DE4">
      <w:rPr>
        <w:rFonts w:ascii="Arial" w:hAnsi="Arial"/>
      </w:rPr>
      <w:fldChar w:fldCharType="begin"/>
    </w:r>
    <w:r w:rsidRPr="00865DE4">
      <w:rPr>
        <w:rFonts w:ascii="Arial" w:hAnsi="Arial"/>
      </w:rPr>
      <w:instrText xml:space="preserve"> NUMPAGES   \* MERGEFORMAT </w:instrText>
    </w:r>
    <w:r w:rsidRPr="00865DE4">
      <w:rPr>
        <w:rFonts w:ascii="Arial" w:hAnsi="Arial"/>
      </w:rPr>
      <w:fldChar w:fldCharType="separate"/>
    </w:r>
    <w:r w:rsidR="00511D73">
      <w:rPr>
        <w:rFonts w:ascii="Arial" w:hAnsi="Arial"/>
        <w:noProof/>
      </w:rPr>
      <w:t>13</w:t>
    </w:r>
    <w:r w:rsidRPr="00865DE4">
      <w:rPr>
        <w:rFonts w:ascii="Arial" w:hAnsi="Arial"/>
      </w:rPr>
      <w:fldChar w:fldCharType="end"/>
    </w:r>
    <w:r w:rsidRPr="00865DE4"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7348" w14:textId="77777777" w:rsidR="00A167EE" w:rsidRDefault="00A167EE" w:rsidP="00580E07">
      <w:r>
        <w:separator/>
      </w:r>
    </w:p>
    <w:p w14:paraId="08987B42" w14:textId="77777777" w:rsidR="00A167EE" w:rsidRDefault="00A167EE" w:rsidP="00580E07"/>
  </w:footnote>
  <w:footnote w:type="continuationSeparator" w:id="0">
    <w:p w14:paraId="656F945C" w14:textId="77777777" w:rsidR="00A167EE" w:rsidRDefault="00A167EE" w:rsidP="00580E07">
      <w:r>
        <w:continuationSeparator/>
      </w:r>
    </w:p>
    <w:p w14:paraId="049B8696" w14:textId="77777777" w:rsidR="00A167EE" w:rsidRDefault="00A167EE" w:rsidP="00580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1CA6" w14:textId="77777777" w:rsidR="00FD337D" w:rsidRPr="0088556F" w:rsidRDefault="00FD337D" w:rsidP="00FD337D">
    <w:pPr>
      <w:widowControl w:val="0"/>
      <w:jc w:val="center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591273B" wp14:editId="0B357132">
          <wp:simplePos x="0" y="0"/>
          <wp:positionH relativeFrom="column">
            <wp:posOffset>22860</wp:posOffset>
          </wp:positionH>
          <wp:positionV relativeFrom="paragraph">
            <wp:posOffset>-146685</wp:posOffset>
          </wp:positionV>
          <wp:extent cx="638175" cy="80229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56F">
      <w:rPr>
        <w:rFonts w:ascii="Times New Roman" w:hAnsi="Times New Roman" w:cs="Times New Roman"/>
        <w:b/>
        <w:noProof/>
        <w:sz w:val="24"/>
        <w:szCs w:val="24"/>
      </w:rPr>
      <w:t>MĚSTO  FRENŠTÁT POD RADHOŠTĚM</w:t>
    </w:r>
  </w:p>
  <w:p w14:paraId="211B6803" w14:textId="334B7473" w:rsidR="00194014" w:rsidRPr="00FD337D" w:rsidRDefault="00FD337D" w:rsidP="00FD337D">
    <w:pPr>
      <w:widowControl w:val="0"/>
      <w:jc w:val="center"/>
      <w:rPr>
        <w:rFonts w:ascii="Times New Roman" w:hAnsi="Times New Roman" w:cs="Times New Roman"/>
        <w:bCs/>
        <w:noProof/>
        <w:sz w:val="24"/>
        <w:szCs w:val="24"/>
      </w:rPr>
    </w:pPr>
    <w:r w:rsidRPr="003617A6">
      <w:rPr>
        <w:rFonts w:ascii="Times New Roman" w:hAnsi="Times New Roman" w:cs="Times New Roman"/>
        <w:bCs/>
        <w:noProof/>
        <w:sz w:val="24"/>
        <w:szCs w:val="24"/>
      </w:rPr>
      <w:t>nám. Míru 1, 744 01  Frenštát pod Radhoštěm</w:t>
    </w:r>
  </w:p>
  <w:p w14:paraId="3372087E" w14:textId="0BD21AF5" w:rsidR="00194014" w:rsidRDefault="00194014" w:rsidP="00580E07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A3A"/>
    <w:multiLevelType w:val="multilevel"/>
    <w:tmpl w:val="1F88E642"/>
    <w:lvl w:ilvl="0">
      <w:start w:val="1"/>
      <w:numFmt w:val="bullet"/>
      <w:pStyle w:val="Seznamsodrkami"/>
      <w:lvlText w:val=""/>
      <w:lvlJc w:val="left"/>
      <w:pPr>
        <w:ind w:left="1074" w:hanging="360"/>
      </w:pPr>
      <w:rPr>
        <w:rFonts w:ascii="Wingdings" w:hAnsi="Wingdings" w:hint="default"/>
        <w:color w:val="44546A" w:themeColor="text2"/>
        <w:sz w:val="21"/>
      </w:rPr>
    </w:lvl>
    <w:lvl w:ilvl="1">
      <w:start w:val="1"/>
      <w:numFmt w:val="bullet"/>
      <w:lvlText w:val=""/>
      <w:lvlJc w:val="left"/>
      <w:pPr>
        <w:ind w:left="2139" w:hanging="360"/>
      </w:pPr>
      <w:rPr>
        <w:rFonts w:ascii="Wingdings" w:hAnsi="Wingdings" w:cs="Courier New" w:hint="default"/>
        <w:color w:val="002060"/>
        <w:sz w:val="24"/>
      </w:rPr>
    </w:lvl>
    <w:lvl w:ilvl="2">
      <w:start w:val="1"/>
      <w:numFmt w:val="bullet"/>
      <w:lvlText w:val=""/>
      <w:lvlJc w:val="left"/>
      <w:pPr>
        <w:ind w:left="2847" w:hanging="360"/>
      </w:pPr>
      <w:rPr>
        <w:rFonts w:ascii="Wingdings" w:hAnsi="Wingdings" w:hint="default"/>
        <w:color w:val="C00000"/>
        <w:sz w:val="24"/>
      </w:rPr>
    </w:lvl>
    <w:lvl w:ilvl="3">
      <w:start w:val="1"/>
      <w:numFmt w:val="bullet"/>
      <w:lvlText w:val=""/>
      <w:lvlJc w:val="left"/>
      <w:pPr>
        <w:ind w:left="3555" w:hanging="360"/>
      </w:pPr>
      <w:rPr>
        <w:rFonts w:ascii="Wingdings 3" w:hAnsi="Wingdings 3" w:hint="default"/>
        <w:sz w:val="16"/>
      </w:rPr>
    </w:lvl>
    <w:lvl w:ilvl="4">
      <w:start w:val="1"/>
      <w:numFmt w:val="bullet"/>
      <w:lvlText w:val=""/>
      <w:lvlJc w:val="left"/>
      <w:pPr>
        <w:ind w:left="4263" w:hanging="360"/>
      </w:pPr>
      <w:rPr>
        <w:rFonts w:ascii="Wingdings" w:hAnsi="Wingdings" w:cs="Courier New" w:hint="default"/>
        <w:color w:val="C00000"/>
        <w:sz w:val="22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23EB1F54"/>
    <w:multiLevelType w:val="multilevel"/>
    <w:tmpl w:val="F670EB9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5E5"/>
    <w:multiLevelType w:val="hybridMultilevel"/>
    <w:tmpl w:val="7562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72E2"/>
    <w:multiLevelType w:val="hybridMultilevel"/>
    <w:tmpl w:val="1D50D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2E61"/>
    <w:multiLevelType w:val="hybridMultilevel"/>
    <w:tmpl w:val="0622A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3F85"/>
    <w:multiLevelType w:val="multilevel"/>
    <w:tmpl w:val="C1D83174"/>
    <w:lvl w:ilvl="0">
      <w:start w:val="1"/>
      <w:numFmt w:val="decimal"/>
      <w:pStyle w:val="Odrka1"/>
      <w:lvlText w:val="%1)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Odrkaa"/>
      <w:lvlText w:val="%2)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)"/>
      <w:lvlJc w:val="right"/>
      <w:pPr>
        <w:tabs>
          <w:tab w:val="num" w:pos="1429"/>
        </w:tabs>
        <w:ind w:left="1429" w:hanging="357"/>
      </w:pPr>
    </w:lvl>
    <w:lvl w:ilvl="3">
      <w:start w:val="1"/>
      <w:numFmt w:val="decimal"/>
      <w:lvlText w:val="%4."/>
      <w:lvlJc w:val="left"/>
      <w:pPr>
        <w:ind w:left="5379" w:hanging="360"/>
      </w:pPr>
    </w:lvl>
    <w:lvl w:ilvl="4">
      <w:start w:val="1"/>
      <w:numFmt w:val="lowerLetter"/>
      <w:lvlText w:val="%5."/>
      <w:lvlJc w:val="left"/>
      <w:pPr>
        <w:ind w:left="6099" w:hanging="360"/>
      </w:pPr>
    </w:lvl>
    <w:lvl w:ilvl="5">
      <w:start w:val="1"/>
      <w:numFmt w:val="lowerRoman"/>
      <w:lvlText w:val="%6."/>
      <w:lvlJc w:val="right"/>
      <w:pPr>
        <w:ind w:left="6819" w:hanging="180"/>
      </w:pPr>
    </w:lvl>
    <w:lvl w:ilvl="6">
      <w:start w:val="1"/>
      <w:numFmt w:val="decimal"/>
      <w:lvlText w:val="%7."/>
      <w:lvlJc w:val="left"/>
      <w:pPr>
        <w:ind w:left="7539" w:hanging="360"/>
      </w:pPr>
    </w:lvl>
    <w:lvl w:ilvl="7">
      <w:start w:val="1"/>
      <w:numFmt w:val="lowerLetter"/>
      <w:lvlText w:val="%8."/>
      <w:lvlJc w:val="left"/>
      <w:pPr>
        <w:ind w:left="8259" w:hanging="360"/>
      </w:pPr>
    </w:lvl>
    <w:lvl w:ilvl="8">
      <w:start w:val="1"/>
      <w:numFmt w:val="lowerRoman"/>
      <w:lvlText w:val="%9."/>
      <w:lvlJc w:val="right"/>
      <w:pPr>
        <w:ind w:left="8979" w:hanging="180"/>
      </w:pPr>
    </w:lvl>
  </w:abstractNum>
  <w:abstractNum w:abstractNumId="7" w15:restartNumberingAfterBreak="0">
    <w:nsid w:val="4DC83B76"/>
    <w:multiLevelType w:val="hybridMultilevel"/>
    <w:tmpl w:val="6BA637BC"/>
    <w:lvl w:ilvl="0" w:tplc="418E50C2">
      <w:start w:val="1"/>
      <w:numFmt w:val="decimal"/>
      <w:pStyle w:val="Odrka-rove1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50C20"/>
    <w:multiLevelType w:val="hybridMultilevel"/>
    <w:tmpl w:val="CD62C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0EDB"/>
    <w:multiLevelType w:val="hybridMultilevel"/>
    <w:tmpl w:val="2C02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1AB"/>
    <w:multiLevelType w:val="hybridMultilevel"/>
    <w:tmpl w:val="A120C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0C8E"/>
    <w:multiLevelType w:val="hybridMultilevel"/>
    <w:tmpl w:val="D100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ED"/>
    <w:multiLevelType w:val="hybridMultilevel"/>
    <w:tmpl w:val="74929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2F7B"/>
    <w:multiLevelType w:val="hybridMultilevel"/>
    <w:tmpl w:val="56660C0E"/>
    <w:lvl w:ilvl="0" w:tplc="F2A8ACE4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Arial" w:eastAsia="Wingdings 3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A0DFE"/>
    <w:multiLevelType w:val="hybridMultilevel"/>
    <w:tmpl w:val="D64EF968"/>
    <w:lvl w:ilvl="0" w:tplc="3820A64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5CD12F6"/>
    <w:multiLevelType w:val="hybridMultilevel"/>
    <w:tmpl w:val="4216B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77352"/>
    <w:multiLevelType w:val="hybridMultilevel"/>
    <w:tmpl w:val="204078D8"/>
    <w:lvl w:ilvl="0" w:tplc="00806E74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44546A" w:themeColor="text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 w:numId="18">
    <w:abstractNumId w:val="12"/>
  </w:num>
  <w:num w:numId="19">
    <w:abstractNumId w:val="3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362EB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771AE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3CB4"/>
    <w:rsid w:val="001042E5"/>
    <w:rsid w:val="00107A10"/>
    <w:rsid w:val="00110EF3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368BD"/>
    <w:rsid w:val="0014168E"/>
    <w:rsid w:val="00142041"/>
    <w:rsid w:val="00142350"/>
    <w:rsid w:val="001450CC"/>
    <w:rsid w:val="001475C5"/>
    <w:rsid w:val="00150D4C"/>
    <w:rsid w:val="0015299A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670"/>
    <w:rsid w:val="001928E6"/>
    <w:rsid w:val="00193623"/>
    <w:rsid w:val="00193DD8"/>
    <w:rsid w:val="00194014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1641"/>
    <w:rsid w:val="00202722"/>
    <w:rsid w:val="00212B43"/>
    <w:rsid w:val="00214061"/>
    <w:rsid w:val="00214147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5531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497D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2D13"/>
    <w:rsid w:val="002B4018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0DC7"/>
    <w:rsid w:val="00301CD5"/>
    <w:rsid w:val="00304C88"/>
    <w:rsid w:val="00306B5E"/>
    <w:rsid w:val="00307C24"/>
    <w:rsid w:val="00310369"/>
    <w:rsid w:val="00312A58"/>
    <w:rsid w:val="00317D9C"/>
    <w:rsid w:val="00321C11"/>
    <w:rsid w:val="00323792"/>
    <w:rsid w:val="00326E8E"/>
    <w:rsid w:val="0033233A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650BD"/>
    <w:rsid w:val="0036782D"/>
    <w:rsid w:val="00376D83"/>
    <w:rsid w:val="00377C8E"/>
    <w:rsid w:val="00381A8C"/>
    <w:rsid w:val="003834D2"/>
    <w:rsid w:val="003854E1"/>
    <w:rsid w:val="00386049"/>
    <w:rsid w:val="00386473"/>
    <w:rsid w:val="00387711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30B3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3085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01E0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972DA"/>
    <w:rsid w:val="004A0E15"/>
    <w:rsid w:val="004A1082"/>
    <w:rsid w:val="004A2952"/>
    <w:rsid w:val="004A29E9"/>
    <w:rsid w:val="004A5501"/>
    <w:rsid w:val="004B097C"/>
    <w:rsid w:val="004B1B48"/>
    <w:rsid w:val="004B2D18"/>
    <w:rsid w:val="004B3D49"/>
    <w:rsid w:val="004B4118"/>
    <w:rsid w:val="004B6647"/>
    <w:rsid w:val="004B7990"/>
    <w:rsid w:val="004C0D44"/>
    <w:rsid w:val="004C3D91"/>
    <w:rsid w:val="004E1550"/>
    <w:rsid w:val="004E3FED"/>
    <w:rsid w:val="004F157F"/>
    <w:rsid w:val="004F4C2A"/>
    <w:rsid w:val="00500581"/>
    <w:rsid w:val="005048F3"/>
    <w:rsid w:val="005054CF"/>
    <w:rsid w:val="00506D35"/>
    <w:rsid w:val="0051000F"/>
    <w:rsid w:val="00511B1A"/>
    <w:rsid w:val="00511D73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3DB5"/>
    <w:rsid w:val="00565E11"/>
    <w:rsid w:val="005663FF"/>
    <w:rsid w:val="0056790C"/>
    <w:rsid w:val="00567DC7"/>
    <w:rsid w:val="00570F56"/>
    <w:rsid w:val="005769B7"/>
    <w:rsid w:val="00580E0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B37AE"/>
    <w:rsid w:val="005C44C1"/>
    <w:rsid w:val="005C5BDF"/>
    <w:rsid w:val="005C68DA"/>
    <w:rsid w:val="005D160F"/>
    <w:rsid w:val="005D45C3"/>
    <w:rsid w:val="005E00C3"/>
    <w:rsid w:val="005E0C3A"/>
    <w:rsid w:val="005E1F76"/>
    <w:rsid w:val="005E4DFC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6F5"/>
    <w:rsid w:val="00631D5C"/>
    <w:rsid w:val="0063547A"/>
    <w:rsid w:val="00642345"/>
    <w:rsid w:val="0064438F"/>
    <w:rsid w:val="0064686F"/>
    <w:rsid w:val="0065030C"/>
    <w:rsid w:val="006526F7"/>
    <w:rsid w:val="006528B5"/>
    <w:rsid w:val="00654A26"/>
    <w:rsid w:val="0065593D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12A"/>
    <w:rsid w:val="006B04AC"/>
    <w:rsid w:val="006B0AB2"/>
    <w:rsid w:val="006B2123"/>
    <w:rsid w:val="006B2315"/>
    <w:rsid w:val="006C3BAA"/>
    <w:rsid w:val="006D0EF4"/>
    <w:rsid w:val="006D4C77"/>
    <w:rsid w:val="006D687F"/>
    <w:rsid w:val="006E65F4"/>
    <w:rsid w:val="006E7BC2"/>
    <w:rsid w:val="006F0C3E"/>
    <w:rsid w:val="006F42DB"/>
    <w:rsid w:val="006F7406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6C3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77A35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30D"/>
    <w:rsid w:val="00800985"/>
    <w:rsid w:val="008029AC"/>
    <w:rsid w:val="00806E49"/>
    <w:rsid w:val="0080784D"/>
    <w:rsid w:val="00807EC4"/>
    <w:rsid w:val="008135EA"/>
    <w:rsid w:val="00816FE9"/>
    <w:rsid w:val="00817024"/>
    <w:rsid w:val="008173DD"/>
    <w:rsid w:val="00820898"/>
    <w:rsid w:val="00820F4D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33735"/>
    <w:rsid w:val="00836057"/>
    <w:rsid w:val="008420C2"/>
    <w:rsid w:val="00843B97"/>
    <w:rsid w:val="00844139"/>
    <w:rsid w:val="00844C71"/>
    <w:rsid w:val="00844CD1"/>
    <w:rsid w:val="0084520D"/>
    <w:rsid w:val="00845359"/>
    <w:rsid w:val="008468C6"/>
    <w:rsid w:val="0084789B"/>
    <w:rsid w:val="00851651"/>
    <w:rsid w:val="008520FA"/>
    <w:rsid w:val="008529E3"/>
    <w:rsid w:val="00857D6C"/>
    <w:rsid w:val="008622E0"/>
    <w:rsid w:val="00862E79"/>
    <w:rsid w:val="008658B9"/>
    <w:rsid w:val="00865DE4"/>
    <w:rsid w:val="00866236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1773"/>
    <w:rsid w:val="00892E8B"/>
    <w:rsid w:val="00894804"/>
    <w:rsid w:val="00895CA2"/>
    <w:rsid w:val="008A032E"/>
    <w:rsid w:val="008A121E"/>
    <w:rsid w:val="008A165C"/>
    <w:rsid w:val="008A2247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1109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357B"/>
    <w:rsid w:val="00966CAB"/>
    <w:rsid w:val="00967218"/>
    <w:rsid w:val="00967CF1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2AB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310"/>
    <w:rsid w:val="009E48D3"/>
    <w:rsid w:val="009F5233"/>
    <w:rsid w:val="009F528C"/>
    <w:rsid w:val="009F6AF1"/>
    <w:rsid w:val="00A00965"/>
    <w:rsid w:val="00A0683A"/>
    <w:rsid w:val="00A1056D"/>
    <w:rsid w:val="00A10929"/>
    <w:rsid w:val="00A11239"/>
    <w:rsid w:val="00A12623"/>
    <w:rsid w:val="00A167EE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6D9"/>
    <w:rsid w:val="00A47855"/>
    <w:rsid w:val="00A47C74"/>
    <w:rsid w:val="00A524A6"/>
    <w:rsid w:val="00A54272"/>
    <w:rsid w:val="00A5766B"/>
    <w:rsid w:val="00A63411"/>
    <w:rsid w:val="00A6553C"/>
    <w:rsid w:val="00A66FBE"/>
    <w:rsid w:val="00A707D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4FA3"/>
    <w:rsid w:val="00AA7F0D"/>
    <w:rsid w:val="00AB1248"/>
    <w:rsid w:val="00AB35C8"/>
    <w:rsid w:val="00AB485E"/>
    <w:rsid w:val="00AC5A23"/>
    <w:rsid w:val="00AC7B8C"/>
    <w:rsid w:val="00AD0263"/>
    <w:rsid w:val="00AD3C24"/>
    <w:rsid w:val="00AD6593"/>
    <w:rsid w:val="00AD7D71"/>
    <w:rsid w:val="00AE0FB5"/>
    <w:rsid w:val="00AE18EB"/>
    <w:rsid w:val="00AE5524"/>
    <w:rsid w:val="00AF1993"/>
    <w:rsid w:val="00AF2388"/>
    <w:rsid w:val="00AF4019"/>
    <w:rsid w:val="00AF69AF"/>
    <w:rsid w:val="00AF7F4E"/>
    <w:rsid w:val="00B050CE"/>
    <w:rsid w:val="00B055F4"/>
    <w:rsid w:val="00B05984"/>
    <w:rsid w:val="00B06B70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67C20"/>
    <w:rsid w:val="00B74C2B"/>
    <w:rsid w:val="00B7748B"/>
    <w:rsid w:val="00B80F34"/>
    <w:rsid w:val="00B82241"/>
    <w:rsid w:val="00B82813"/>
    <w:rsid w:val="00B82BED"/>
    <w:rsid w:val="00B838C7"/>
    <w:rsid w:val="00B8448B"/>
    <w:rsid w:val="00B867A5"/>
    <w:rsid w:val="00B9069A"/>
    <w:rsid w:val="00B90B9D"/>
    <w:rsid w:val="00B929BF"/>
    <w:rsid w:val="00B92E34"/>
    <w:rsid w:val="00B9396B"/>
    <w:rsid w:val="00B9502E"/>
    <w:rsid w:val="00BA1D16"/>
    <w:rsid w:val="00BA310F"/>
    <w:rsid w:val="00BA3666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0E1D"/>
    <w:rsid w:val="00BE674C"/>
    <w:rsid w:val="00BE6A8F"/>
    <w:rsid w:val="00BF1D9C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D7B33"/>
    <w:rsid w:val="00CE234A"/>
    <w:rsid w:val="00CE23F6"/>
    <w:rsid w:val="00CE3355"/>
    <w:rsid w:val="00CE4211"/>
    <w:rsid w:val="00CE602A"/>
    <w:rsid w:val="00CE7473"/>
    <w:rsid w:val="00CE7EB2"/>
    <w:rsid w:val="00CF0267"/>
    <w:rsid w:val="00CF096B"/>
    <w:rsid w:val="00CF16EE"/>
    <w:rsid w:val="00CF25DB"/>
    <w:rsid w:val="00CF5728"/>
    <w:rsid w:val="00CF5D28"/>
    <w:rsid w:val="00CF5E3E"/>
    <w:rsid w:val="00CF66CE"/>
    <w:rsid w:val="00CF7E05"/>
    <w:rsid w:val="00D00B98"/>
    <w:rsid w:val="00D03333"/>
    <w:rsid w:val="00D062C4"/>
    <w:rsid w:val="00D12F4E"/>
    <w:rsid w:val="00D13860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D73CF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57CC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44EF7"/>
    <w:rsid w:val="00E47F34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B41"/>
    <w:rsid w:val="00E96CD0"/>
    <w:rsid w:val="00E976E1"/>
    <w:rsid w:val="00E97EBE"/>
    <w:rsid w:val="00EA5505"/>
    <w:rsid w:val="00EB049B"/>
    <w:rsid w:val="00EB0B42"/>
    <w:rsid w:val="00EB3B9D"/>
    <w:rsid w:val="00EB4023"/>
    <w:rsid w:val="00EB454B"/>
    <w:rsid w:val="00EB5BCB"/>
    <w:rsid w:val="00EC17EC"/>
    <w:rsid w:val="00EC6CA5"/>
    <w:rsid w:val="00ED10C7"/>
    <w:rsid w:val="00ED1E26"/>
    <w:rsid w:val="00ED2DE5"/>
    <w:rsid w:val="00ED4519"/>
    <w:rsid w:val="00ED5472"/>
    <w:rsid w:val="00EE56AF"/>
    <w:rsid w:val="00EE5CC7"/>
    <w:rsid w:val="00EE6D47"/>
    <w:rsid w:val="00EE7D3F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2335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5D8C"/>
    <w:rsid w:val="00F568A9"/>
    <w:rsid w:val="00F73758"/>
    <w:rsid w:val="00F755DC"/>
    <w:rsid w:val="00F7679F"/>
    <w:rsid w:val="00F810A9"/>
    <w:rsid w:val="00F847B3"/>
    <w:rsid w:val="00F861CD"/>
    <w:rsid w:val="00F91A9F"/>
    <w:rsid w:val="00F9452D"/>
    <w:rsid w:val="00F94BE9"/>
    <w:rsid w:val="00FA0496"/>
    <w:rsid w:val="00FA2155"/>
    <w:rsid w:val="00FA7484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D337D"/>
    <w:rsid w:val="00FD4E90"/>
    <w:rsid w:val="00FE402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74073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E07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7406"/>
    <w:pPr>
      <w:keepNext/>
      <w:keepLines/>
      <w:numPr>
        <w:numId w:val="3"/>
      </w:numPr>
      <w:spacing w:before="240"/>
      <w:outlineLvl w:val="0"/>
    </w:pPr>
    <w:rPr>
      <w:rFonts w:eastAsia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A3666"/>
    <w:pPr>
      <w:keepNext/>
      <w:numPr>
        <w:ilvl w:val="1"/>
        <w:numId w:val="3"/>
      </w:numPr>
      <w:ind w:left="567" w:hanging="567"/>
      <w:outlineLvl w:val="1"/>
    </w:pPr>
    <w:rPr>
      <w:b/>
      <w:bCs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80E07"/>
    <w:pPr>
      <w:keepNext/>
      <w:numPr>
        <w:ilvl w:val="2"/>
        <w:numId w:val="3"/>
      </w:numPr>
      <w:spacing w:before="240"/>
      <w:ind w:left="709" w:hanging="709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7406"/>
    <w:rPr>
      <w:rFonts w:ascii="Arial" w:hAnsi="Arial" w:cs="Arial"/>
      <w:b/>
      <w:sz w:val="28"/>
      <w:szCs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 cíl se seznamem,Odstavec se seznamem5,Odstavec_muj,Odrážky,Reference List,Odstavec se seznamem a odrážkou,1 úroveň Odstavec se seznamem,Odstavec,Odstavec se seznamem1,Odstavec se seznamem2,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aliases w:val="ZÁKLADNÍ TABULKA"/>
    <w:basedOn w:val="Normlntabulka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BA3666"/>
    <w:rPr>
      <w:rFonts w:ascii="Arial" w:eastAsia="Times New Roman" w:hAnsi="Arial" w:cs="Arial"/>
      <w:b/>
      <w:bCs/>
      <w:iCs/>
      <w:sz w:val="24"/>
      <w:szCs w:val="24"/>
      <w:lang w:val="cs-CZ" w:eastAsia="cs-CZ"/>
    </w:rPr>
  </w:style>
  <w:style w:type="character" w:customStyle="1" w:styleId="Nadpis3Char">
    <w:name w:val="Nadpis 3 Char"/>
    <w:link w:val="Nadpis3"/>
    <w:rsid w:val="00580E07"/>
    <w:rPr>
      <w:rFonts w:ascii="Arial" w:eastAsia="Times New Roman" w:hAnsi="Arial" w:cs="Arial"/>
      <w:b/>
      <w:bCs/>
      <w:lang w:val="cs-CZ" w:eastAsia="cs-CZ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Reference List Char,Odstavec se seznamem a odrážkou Char,1 úroveň Odstavec se seznamem Char,Odstavec Char,List Paragraph Char"/>
    <w:basedOn w:val="Standardnpsmoodstavce"/>
    <w:link w:val="Odstavecseseznamem"/>
    <w:uiPriority w:val="34"/>
    <w:locked/>
    <w:rsid w:val="006F7406"/>
    <w:rPr>
      <w:rFonts w:ascii="Arial" w:eastAsia="Times New Roman" w:hAnsi="Arial" w:cs="Arial"/>
      <w:lang w:val="cs-CZ" w:eastAsia="cs-CZ"/>
    </w:rPr>
  </w:style>
  <w:style w:type="paragraph" w:customStyle="1" w:styleId="Odrka">
    <w:name w:val="Odrážka"/>
    <w:basedOn w:val="Normln"/>
    <w:qFormat/>
    <w:rsid w:val="006F7406"/>
    <w:pPr>
      <w:numPr>
        <w:numId w:val="4"/>
      </w:numPr>
      <w:spacing w:before="100" w:after="100"/>
    </w:pPr>
    <w:rPr>
      <w:rFonts w:cs="Times New Roman"/>
      <w:szCs w:val="24"/>
    </w:rPr>
  </w:style>
  <w:style w:type="paragraph" w:customStyle="1" w:styleId="Obrzek-popisek">
    <w:name w:val="Obrázek - popisek"/>
    <w:basedOn w:val="Titulek"/>
    <w:uiPriority w:val="99"/>
    <w:rsid w:val="006F7406"/>
    <w:pPr>
      <w:spacing w:before="200" w:after="360"/>
      <w:jc w:val="center"/>
    </w:pPr>
    <w:rPr>
      <w:rFonts w:eastAsia="Calibri" w:cs="Tahoma"/>
      <w:b/>
      <w:bCs/>
      <w:i w:val="0"/>
      <w:iCs w:val="0"/>
      <w:color w:val="404040" w:themeColor="text1" w:themeTint="BF"/>
      <w:sz w:val="20"/>
      <w:lang w:eastAsia="en-US"/>
    </w:rPr>
  </w:style>
  <w:style w:type="paragraph" w:customStyle="1" w:styleId="Obrzek-schma">
    <w:name w:val="Obrázek - schéma"/>
    <w:basedOn w:val="Normln"/>
    <w:qFormat/>
    <w:rsid w:val="006F7406"/>
    <w:pPr>
      <w:spacing w:before="300" w:after="200"/>
      <w:jc w:val="center"/>
    </w:pPr>
    <w:rPr>
      <w:rFonts w:ascii="Tahoma" w:hAnsi="Tahoma" w:cs="Times New Roman"/>
      <w:noProof/>
      <w:szCs w:val="24"/>
    </w:rPr>
  </w:style>
  <w:style w:type="paragraph" w:customStyle="1" w:styleId="Nadpismalmodr">
    <w:name w:val="Nadpis malý modrý"/>
    <w:basedOn w:val="Nadpis1"/>
    <w:qFormat/>
    <w:rsid w:val="003B30B3"/>
    <w:rPr>
      <w:rFonts w:ascii="Times New Roman" w:hAnsi="Times New Roman" w:cs="Times New Roman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locked/>
    <w:rsid w:val="006F7406"/>
    <w:pPr>
      <w:spacing w:before="0" w:after="200"/>
    </w:pPr>
    <w:rPr>
      <w:i/>
      <w:iCs/>
      <w:color w:val="44546A" w:themeColor="text2"/>
      <w:sz w:val="18"/>
      <w:szCs w:val="18"/>
    </w:rPr>
  </w:style>
  <w:style w:type="character" w:customStyle="1" w:styleId="Odrka1Char">
    <w:name w:val="Odrážka 1) Char"/>
    <w:basedOn w:val="Standardnpsmoodstavce"/>
    <w:link w:val="Odrka1"/>
    <w:uiPriority w:val="10"/>
    <w:locked/>
    <w:rsid w:val="00D12F4E"/>
    <w:rPr>
      <w:rFonts w:ascii="Calibri" w:eastAsiaTheme="minorHAnsi" w:hAnsi="Calibri"/>
      <w:color w:val="44546A" w:themeColor="text2"/>
      <w:sz w:val="21"/>
      <w:lang w:eastAsia="en-US"/>
    </w:rPr>
  </w:style>
  <w:style w:type="paragraph" w:customStyle="1" w:styleId="Odrka1">
    <w:name w:val="Odrážka 1)"/>
    <w:basedOn w:val="Normln"/>
    <w:link w:val="Odrka1Char"/>
    <w:uiPriority w:val="10"/>
    <w:qFormat/>
    <w:rsid w:val="00D12F4E"/>
    <w:pPr>
      <w:numPr>
        <w:numId w:val="7"/>
      </w:numPr>
      <w:contextualSpacing/>
    </w:pPr>
    <w:rPr>
      <w:rFonts w:ascii="Calibri" w:eastAsiaTheme="minorHAnsi" w:hAnsi="Calibri" w:cs="Times New Roman"/>
      <w:color w:val="44546A" w:themeColor="text2"/>
      <w:sz w:val="21"/>
      <w:lang w:val="en-GB" w:eastAsia="en-US"/>
    </w:rPr>
  </w:style>
  <w:style w:type="paragraph" w:customStyle="1" w:styleId="Odrkaa">
    <w:name w:val="Odrážka a)"/>
    <w:basedOn w:val="Normln"/>
    <w:link w:val="OdrkaaChar"/>
    <w:uiPriority w:val="10"/>
    <w:qFormat/>
    <w:rsid w:val="00D12F4E"/>
    <w:pPr>
      <w:numPr>
        <w:ilvl w:val="1"/>
        <w:numId w:val="7"/>
      </w:numPr>
      <w:spacing w:before="0"/>
      <w:contextualSpacing/>
    </w:pPr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paragraph" w:styleId="Seznamsodrkami">
    <w:name w:val="List Bullet"/>
    <w:basedOn w:val="Normln"/>
    <w:uiPriority w:val="7"/>
    <w:qFormat/>
    <w:rsid w:val="00D12F4E"/>
    <w:pPr>
      <w:numPr>
        <w:numId w:val="8"/>
      </w:numPr>
      <w:spacing w:before="0" w:line="276" w:lineRule="auto"/>
      <w:contextualSpacing/>
    </w:pPr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character" w:customStyle="1" w:styleId="OdrkaaChar">
    <w:name w:val="Odrážka a) Char"/>
    <w:basedOn w:val="Standardnpsmoodstavce"/>
    <w:link w:val="Odrkaa"/>
    <w:uiPriority w:val="10"/>
    <w:rsid w:val="00D12F4E"/>
    <w:rPr>
      <w:rFonts w:asciiTheme="minorHAnsi" w:eastAsiaTheme="minorHAnsi" w:hAnsiTheme="minorHAnsi" w:cstheme="minorBidi"/>
      <w:color w:val="000000" w:themeColor="text1"/>
      <w:sz w:val="21"/>
      <w:szCs w:val="22"/>
      <w:lang w:val="cs-CZ" w:eastAsia="en-US"/>
    </w:rPr>
  </w:style>
  <w:style w:type="character" w:customStyle="1" w:styleId="Normln-rove1Char">
    <w:name w:val="Normální - úroveň 1 Char"/>
    <w:link w:val="Normln-rove1"/>
    <w:uiPriority w:val="30"/>
    <w:locked/>
    <w:rsid w:val="00820F4D"/>
    <w:rPr>
      <w:sz w:val="18"/>
      <w:lang w:eastAsia="cs-CZ"/>
    </w:rPr>
  </w:style>
  <w:style w:type="paragraph" w:customStyle="1" w:styleId="Normln-rove1">
    <w:name w:val="Normální - úroveň 1"/>
    <w:basedOn w:val="Normln"/>
    <w:link w:val="Normln-rove1Char"/>
    <w:uiPriority w:val="30"/>
    <w:qFormat/>
    <w:rsid w:val="00820F4D"/>
    <w:pPr>
      <w:spacing w:before="0" w:after="60"/>
      <w:ind w:left="360"/>
      <w:jc w:val="left"/>
    </w:pPr>
    <w:rPr>
      <w:rFonts w:ascii="Verdana" w:eastAsia="Calibri" w:hAnsi="Verdana" w:cs="Times New Roman"/>
      <w:sz w:val="18"/>
      <w:lang w:val="en-GB"/>
    </w:rPr>
  </w:style>
  <w:style w:type="character" w:customStyle="1" w:styleId="Odrka-rove1Char">
    <w:name w:val="Odrážka - úroveň 1 Char"/>
    <w:basedOn w:val="Standardnpsmoodstavce"/>
    <w:link w:val="Odrka-rove1"/>
    <w:uiPriority w:val="19"/>
    <w:locked/>
    <w:rsid w:val="00820F4D"/>
    <w:rPr>
      <w:rFonts w:ascii="Arial" w:hAnsi="Arial" w:cs="Arial"/>
    </w:rPr>
  </w:style>
  <w:style w:type="paragraph" w:customStyle="1" w:styleId="Odrka-rove1">
    <w:name w:val="Odrážka - úroveň 1"/>
    <w:basedOn w:val="Normln"/>
    <w:link w:val="Odrka-rove1Char"/>
    <w:uiPriority w:val="19"/>
    <w:qFormat/>
    <w:rsid w:val="00820F4D"/>
    <w:pPr>
      <w:numPr>
        <w:numId w:val="9"/>
      </w:numPr>
      <w:spacing w:before="60" w:after="60"/>
      <w:jc w:val="left"/>
    </w:pPr>
    <w:rPr>
      <w:rFonts w:eastAsia="Calibri"/>
      <w:lang w:val="en-GB"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993"/>
    <w:rPr>
      <w:color w:val="605E5C"/>
      <w:shd w:val="clear" w:color="auto" w:fill="E1DFDD"/>
    </w:rPr>
  </w:style>
  <w:style w:type="paragraph" w:customStyle="1" w:styleId="OdrkaII">
    <w:name w:val="Odrážka II"/>
    <w:basedOn w:val="Normln"/>
    <w:link w:val="OdrkaIIChar"/>
    <w:qFormat/>
    <w:rsid w:val="00265531"/>
    <w:pPr>
      <w:numPr>
        <w:numId w:val="11"/>
      </w:numPr>
      <w:spacing w:before="60" w:after="60"/>
    </w:pPr>
    <w:rPr>
      <w:rFonts w:cs="Times New Roman"/>
      <w:szCs w:val="24"/>
    </w:rPr>
  </w:style>
  <w:style w:type="character" w:customStyle="1" w:styleId="OdrkaIIChar">
    <w:name w:val="Odrážka II Char"/>
    <w:basedOn w:val="Standardnpsmoodstavce"/>
    <w:link w:val="OdrkaII"/>
    <w:locked/>
    <w:rsid w:val="00265531"/>
    <w:rPr>
      <w:rFonts w:ascii="Arial" w:eastAsia="Times New Roman" w:hAnsi="Arial"/>
      <w:szCs w:val="24"/>
      <w:lang w:val="cs-CZ" w:eastAsia="cs-CZ"/>
    </w:rPr>
  </w:style>
  <w:style w:type="paragraph" w:customStyle="1" w:styleId="Default">
    <w:name w:val="Default"/>
    <w:rsid w:val="009F52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customStyle="1" w:styleId="TextdokumentuChar">
    <w:name w:val="Text dokumentu Char"/>
    <w:basedOn w:val="Normln"/>
    <w:link w:val="TextdokumentuCharChar"/>
    <w:rsid w:val="00967CF1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sz w:val="22"/>
      <w:szCs w:val="22"/>
    </w:rPr>
  </w:style>
  <w:style w:type="character" w:customStyle="1" w:styleId="TextdokumentuCharChar">
    <w:name w:val="Text dokumentu Char Char"/>
    <w:link w:val="TextdokumentuChar"/>
    <w:rsid w:val="00967CF1"/>
    <w:rPr>
      <w:rFonts w:ascii="Arial" w:eastAsia="Times New Roman" w:hAnsi="Arial" w:cs="Arial"/>
      <w:sz w:val="22"/>
      <w:szCs w:val="22"/>
      <w:lang w:val="cs-CZ" w:eastAsia="cs-CZ"/>
    </w:rPr>
  </w:style>
  <w:style w:type="character" w:styleId="Zdraznn">
    <w:name w:val="Emphasis"/>
    <w:basedOn w:val="Standardnpsmoodstavce"/>
    <w:uiPriority w:val="20"/>
    <w:qFormat/>
    <w:locked/>
    <w:rsid w:val="00FA7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nchmarks.cisecur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ECDBA-287C-4376-88AB-1D823E578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2063</Words>
  <Characters>13350</Characters>
  <Application>Microsoft Office Word</Application>
  <DocSecurity>0</DocSecurity>
  <Lines>111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Lenka Szabó</cp:lastModifiedBy>
  <cp:revision>4</cp:revision>
  <cp:lastPrinted>2012-10-05T07:05:00Z</cp:lastPrinted>
  <dcterms:created xsi:type="dcterms:W3CDTF">2021-10-11T06:22:00Z</dcterms:created>
  <dcterms:modified xsi:type="dcterms:W3CDTF">2021-11-08T15:40:00Z</dcterms:modified>
</cp:coreProperties>
</file>